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E9" w:rsidRPr="00FF3125" w:rsidRDefault="005B3EE9" w:rsidP="005B3EE9">
      <w:pPr>
        <w:jc w:val="center"/>
        <w:rPr>
          <w:rFonts w:ascii="Arial" w:hAnsi="Arial" w:cs="Arial"/>
          <w:b/>
          <w:sz w:val="22"/>
          <w:szCs w:val="22"/>
        </w:rPr>
      </w:pPr>
      <w:r w:rsidRPr="00FF3125">
        <w:rPr>
          <w:rFonts w:ascii="Arial" w:hAnsi="Arial" w:cs="Arial"/>
          <w:b/>
          <w:sz w:val="22"/>
          <w:szCs w:val="22"/>
        </w:rPr>
        <w:t>WESTERN WASHINGTON UNIVERSITY</w:t>
      </w:r>
    </w:p>
    <w:p w:rsidR="005B3EE9" w:rsidRPr="00FF3125" w:rsidRDefault="005B3EE9" w:rsidP="005B3EE9">
      <w:pPr>
        <w:jc w:val="center"/>
        <w:rPr>
          <w:rFonts w:ascii="Arial" w:hAnsi="Arial" w:cs="Arial"/>
          <w:b/>
          <w:sz w:val="22"/>
          <w:szCs w:val="22"/>
        </w:rPr>
      </w:pPr>
      <w:r w:rsidRPr="00FF3125">
        <w:rPr>
          <w:rFonts w:ascii="Arial" w:hAnsi="Arial" w:cs="Arial"/>
          <w:b/>
          <w:sz w:val="22"/>
          <w:szCs w:val="22"/>
        </w:rPr>
        <w:t>ITEM SUBMITTED TO THE BOARD OF TRUSTEES</w:t>
      </w:r>
    </w:p>
    <w:p w:rsidR="005B3EE9" w:rsidRPr="00FF3125" w:rsidRDefault="005B3EE9" w:rsidP="005B3EE9">
      <w:pPr>
        <w:jc w:val="center"/>
        <w:rPr>
          <w:rFonts w:ascii="Arial" w:hAnsi="Arial" w:cs="Arial"/>
          <w:b/>
          <w:sz w:val="22"/>
          <w:szCs w:val="22"/>
        </w:rPr>
      </w:pPr>
    </w:p>
    <w:p w:rsidR="00A40C38" w:rsidRDefault="00A40C38" w:rsidP="00A40C38">
      <w:pPr>
        <w:jc w:val="center"/>
        <w:rPr>
          <w:rFonts w:ascii="Arial" w:hAnsi="Arial" w:cs="Arial"/>
          <w:i/>
          <w:color w:val="FF0000"/>
          <w:sz w:val="22"/>
        </w:rPr>
      </w:pPr>
      <w:r w:rsidRPr="00A4291E">
        <w:rPr>
          <w:rFonts w:ascii="Arial" w:hAnsi="Arial" w:cs="Arial"/>
          <w:i/>
          <w:color w:val="FF0000"/>
          <w:sz w:val="22"/>
        </w:rPr>
        <w:t xml:space="preserve">(page margins: top </w:t>
      </w:r>
      <w:r>
        <w:rPr>
          <w:rFonts w:ascii="Arial" w:hAnsi="Arial" w:cs="Arial"/>
          <w:i/>
          <w:color w:val="FF0000"/>
          <w:sz w:val="22"/>
        </w:rPr>
        <w:t>1</w:t>
      </w:r>
      <w:r w:rsidRPr="00A4291E">
        <w:rPr>
          <w:rFonts w:ascii="Arial" w:hAnsi="Arial" w:cs="Arial"/>
          <w:i/>
          <w:color w:val="FF0000"/>
          <w:sz w:val="22"/>
        </w:rPr>
        <w:t xml:space="preserve">”; bottom 0.5”; left </w:t>
      </w:r>
      <w:r>
        <w:rPr>
          <w:rFonts w:ascii="Arial" w:hAnsi="Arial" w:cs="Arial"/>
          <w:i/>
          <w:color w:val="FF0000"/>
          <w:sz w:val="22"/>
        </w:rPr>
        <w:t>1</w:t>
      </w:r>
      <w:r w:rsidRPr="00A4291E">
        <w:rPr>
          <w:rFonts w:ascii="Arial" w:hAnsi="Arial" w:cs="Arial"/>
          <w:i/>
          <w:color w:val="FF0000"/>
          <w:sz w:val="22"/>
        </w:rPr>
        <w:t>”</w:t>
      </w:r>
      <w:r>
        <w:rPr>
          <w:rFonts w:ascii="Arial" w:hAnsi="Arial" w:cs="Arial"/>
          <w:i/>
          <w:color w:val="FF0000"/>
          <w:sz w:val="22"/>
        </w:rPr>
        <w:t>; right 0.7”</w:t>
      </w:r>
      <w:r w:rsidRPr="00A4291E">
        <w:rPr>
          <w:rFonts w:ascii="Arial" w:hAnsi="Arial" w:cs="Arial"/>
          <w:i/>
          <w:color w:val="FF0000"/>
          <w:sz w:val="22"/>
        </w:rPr>
        <w:t>)</w:t>
      </w:r>
    </w:p>
    <w:p w:rsidR="00A40C38" w:rsidRDefault="00A40C38" w:rsidP="00A40C38">
      <w:pPr>
        <w:jc w:val="center"/>
        <w:rPr>
          <w:rFonts w:ascii="Arial" w:hAnsi="Arial" w:cs="Arial"/>
          <w:i/>
          <w:color w:val="FF0000"/>
          <w:sz w:val="22"/>
          <w:szCs w:val="22"/>
        </w:rPr>
      </w:pPr>
      <w:r>
        <w:rPr>
          <w:rFonts w:ascii="Arial" w:hAnsi="Arial" w:cs="Arial"/>
          <w:i/>
          <w:color w:val="FF0000"/>
          <w:sz w:val="22"/>
          <w:szCs w:val="22"/>
        </w:rPr>
        <w:t>(Font: Arial, size 11, black)</w:t>
      </w:r>
    </w:p>
    <w:p w:rsidR="00C77307" w:rsidRPr="00FF3125" w:rsidRDefault="00C77307" w:rsidP="005B3EE9">
      <w:pPr>
        <w:jc w:val="center"/>
        <w:rPr>
          <w:rFonts w:ascii="Arial" w:hAnsi="Arial" w:cs="Arial"/>
          <w:b/>
          <w:sz w:val="22"/>
          <w:szCs w:val="22"/>
        </w:rPr>
      </w:pPr>
    </w:p>
    <w:p w:rsidR="00C77307" w:rsidRPr="00FF3125" w:rsidRDefault="00C77307" w:rsidP="00C77307">
      <w:pPr>
        <w:rPr>
          <w:rFonts w:ascii="Arial" w:hAnsi="Arial" w:cs="Arial"/>
          <w:b/>
          <w:bCs/>
          <w:sz w:val="22"/>
          <w:szCs w:val="22"/>
        </w:rPr>
      </w:pPr>
      <w:r w:rsidRPr="00FF3125">
        <w:rPr>
          <w:rFonts w:ascii="Arial" w:hAnsi="Arial" w:cs="Arial"/>
          <w:b/>
          <w:bCs/>
          <w:sz w:val="22"/>
          <w:szCs w:val="22"/>
        </w:rPr>
        <w:t>TO:</w:t>
      </w:r>
      <w:r w:rsidRPr="00FF3125">
        <w:rPr>
          <w:rFonts w:ascii="Arial" w:hAnsi="Arial" w:cs="Arial"/>
          <w:b/>
          <w:bCs/>
          <w:sz w:val="22"/>
          <w:szCs w:val="22"/>
        </w:rPr>
        <w:tab/>
      </w:r>
      <w:r w:rsidRPr="00FF3125">
        <w:rPr>
          <w:rFonts w:ascii="Arial" w:hAnsi="Arial" w:cs="Arial"/>
          <w:b/>
          <w:bCs/>
          <w:sz w:val="22"/>
          <w:szCs w:val="22"/>
        </w:rPr>
        <w:tab/>
      </w:r>
      <w:r w:rsidRPr="00FF3125">
        <w:rPr>
          <w:rFonts w:ascii="Arial" w:hAnsi="Arial" w:cs="Arial"/>
          <w:sz w:val="22"/>
          <w:szCs w:val="22"/>
        </w:rPr>
        <w:t>Members of the Board of Trustees</w:t>
      </w:r>
      <w:r w:rsidRPr="00FF3125">
        <w:rPr>
          <w:rFonts w:ascii="Arial" w:hAnsi="Arial" w:cs="Arial"/>
          <w:b/>
          <w:bCs/>
          <w:sz w:val="22"/>
          <w:szCs w:val="22"/>
        </w:rPr>
        <w:t xml:space="preserve"> </w:t>
      </w:r>
    </w:p>
    <w:p w:rsidR="00C77307" w:rsidRPr="00FF3125" w:rsidRDefault="00C77307" w:rsidP="00C77307">
      <w:pPr>
        <w:rPr>
          <w:rFonts w:ascii="Arial" w:hAnsi="Arial" w:cs="Arial"/>
          <w:b/>
          <w:bCs/>
          <w:sz w:val="22"/>
          <w:szCs w:val="22"/>
        </w:rPr>
      </w:pPr>
    </w:p>
    <w:p w:rsidR="00C77307" w:rsidRPr="00FF3125" w:rsidRDefault="00C77307" w:rsidP="00C77307">
      <w:pPr>
        <w:rPr>
          <w:rFonts w:ascii="Arial" w:hAnsi="Arial" w:cs="Arial"/>
          <w:bCs/>
          <w:sz w:val="22"/>
          <w:szCs w:val="22"/>
        </w:rPr>
      </w:pPr>
      <w:r w:rsidRPr="00FF3125">
        <w:rPr>
          <w:rFonts w:ascii="Arial" w:hAnsi="Arial" w:cs="Arial"/>
          <w:b/>
          <w:bCs/>
          <w:sz w:val="22"/>
          <w:szCs w:val="22"/>
        </w:rPr>
        <w:t>FROM:</w:t>
      </w:r>
      <w:r w:rsidRPr="00FF3125">
        <w:rPr>
          <w:rFonts w:ascii="Arial" w:hAnsi="Arial" w:cs="Arial"/>
          <w:b/>
          <w:bCs/>
          <w:sz w:val="22"/>
          <w:szCs w:val="22"/>
        </w:rPr>
        <w:tab/>
      </w:r>
      <w:r w:rsidRPr="00FF3125">
        <w:rPr>
          <w:rFonts w:ascii="Arial" w:hAnsi="Arial" w:cs="Arial"/>
          <w:sz w:val="22"/>
          <w:szCs w:val="22"/>
        </w:rPr>
        <w:t xml:space="preserve">President </w:t>
      </w:r>
      <w:r w:rsidR="00096714">
        <w:rPr>
          <w:rFonts w:ascii="Arial" w:hAnsi="Arial" w:cs="Arial"/>
          <w:sz w:val="22"/>
          <w:szCs w:val="22"/>
        </w:rPr>
        <w:t>Sabah Randhawa</w:t>
      </w:r>
      <w:bookmarkStart w:id="0" w:name="_GoBack"/>
      <w:bookmarkEnd w:id="0"/>
      <w:r w:rsidRPr="00FF3125">
        <w:rPr>
          <w:rFonts w:ascii="Arial" w:hAnsi="Arial" w:cs="Arial"/>
          <w:sz w:val="22"/>
          <w:szCs w:val="22"/>
        </w:rPr>
        <w:t xml:space="preserve"> on behalf of</w:t>
      </w:r>
      <w:r w:rsidRPr="00FF3125">
        <w:rPr>
          <w:rFonts w:ascii="Arial" w:hAnsi="Arial" w:cs="Arial"/>
          <w:b/>
          <w:bCs/>
          <w:sz w:val="22"/>
          <w:szCs w:val="22"/>
        </w:rPr>
        <w:t xml:space="preserve"> </w:t>
      </w:r>
      <w:r w:rsidRPr="00FF3125">
        <w:rPr>
          <w:rFonts w:ascii="Arial" w:hAnsi="Arial" w:cs="Arial"/>
          <w:bCs/>
          <w:color w:val="00B050"/>
          <w:sz w:val="22"/>
          <w:szCs w:val="22"/>
        </w:rPr>
        <w:t>Vice President’s</w:t>
      </w:r>
      <w:r w:rsidRPr="00FF3125">
        <w:rPr>
          <w:rFonts w:ascii="Arial" w:hAnsi="Arial" w:cs="Arial"/>
          <w:b/>
          <w:bCs/>
          <w:color w:val="00B050"/>
          <w:sz w:val="22"/>
          <w:szCs w:val="22"/>
        </w:rPr>
        <w:t xml:space="preserve"> </w:t>
      </w:r>
      <w:r w:rsidR="00FF3125" w:rsidRPr="00FF3125">
        <w:rPr>
          <w:rFonts w:ascii="Arial" w:hAnsi="Arial" w:cs="Arial"/>
          <w:bCs/>
          <w:color w:val="00B050"/>
          <w:sz w:val="22"/>
          <w:szCs w:val="22"/>
        </w:rPr>
        <w:t>Name</w:t>
      </w:r>
      <w:r w:rsidR="00FF3125">
        <w:rPr>
          <w:rFonts w:ascii="Arial" w:hAnsi="Arial" w:cs="Arial"/>
          <w:b/>
          <w:bCs/>
          <w:color w:val="00B050"/>
          <w:sz w:val="22"/>
          <w:szCs w:val="22"/>
        </w:rPr>
        <w:t xml:space="preserve"> </w:t>
      </w:r>
      <w:r w:rsidRPr="00FF3125">
        <w:rPr>
          <w:rFonts w:ascii="Arial" w:hAnsi="Arial" w:cs="Arial"/>
          <w:bCs/>
          <w:color w:val="00B050"/>
          <w:sz w:val="22"/>
          <w:szCs w:val="22"/>
        </w:rPr>
        <w:t xml:space="preserve">and </w:t>
      </w:r>
      <w:r w:rsidR="00FF3125">
        <w:rPr>
          <w:rFonts w:ascii="Arial" w:hAnsi="Arial" w:cs="Arial"/>
          <w:bCs/>
          <w:color w:val="00B050"/>
          <w:sz w:val="22"/>
          <w:szCs w:val="22"/>
        </w:rPr>
        <w:t>Title</w:t>
      </w:r>
    </w:p>
    <w:p w:rsidR="00C77307" w:rsidRPr="00FF3125" w:rsidRDefault="00C77307" w:rsidP="00C77307">
      <w:pPr>
        <w:rPr>
          <w:rFonts w:ascii="Arial" w:hAnsi="Arial" w:cs="Arial"/>
          <w:bCs/>
          <w:sz w:val="22"/>
          <w:szCs w:val="22"/>
        </w:rPr>
      </w:pPr>
    </w:p>
    <w:p w:rsidR="00C77307" w:rsidRPr="00FF3125" w:rsidRDefault="00C77307" w:rsidP="00C77307">
      <w:pPr>
        <w:rPr>
          <w:rFonts w:ascii="Arial" w:hAnsi="Arial" w:cs="Arial"/>
          <w:sz w:val="22"/>
          <w:szCs w:val="22"/>
        </w:rPr>
      </w:pPr>
      <w:r w:rsidRPr="00FF3125">
        <w:rPr>
          <w:rFonts w:ascii="Arial" w:hAnsi="Arial" w:cs="Arial"/>
          <w:b/>
          <w:bCs/>
          <w:sz w:val="22"/>
          <w:szCs w:val="22"/>
        </w:rPr>
        <w:t>DATE:</w:t>
      </w:r>
      <w:r w:rsidRPr="00FF3125">
        <w:rPr>
          <w:rFonts w:ascii="Arial" w:hAnsi="Arial" w:cs="Arial"/>
          <w:b/>
          <w:bCs/>
          <w:sz w:val="22"/>
          <w:szCs w:val="22"/>
        </w:rPr>
        <w:tab/>
      </w:r>
      <w:r w:rsidRPr="00FF3125">
        <w:rPr>
          <w:rFonts w:ascii="Arial" w:hAnsi="Arial" w:cs="Arial"/>
          <w:b/>
          <w:bCs/>
          <w:sz w:val="22"/>
          <w:szCs w:val="22"/>
        </w:rPr>
        <w:tab/>
      </w:r>
      <w:r w:rsidRPr="00FF3125">
        <w:rPr>
          <w:rFonts w:ascii="Arial" w:hAnsi="Arial" w:cs="Arial"/>
          <w:bCs/>
          <w:color w:val="00B050"/>
          <w:sz w:val="22"/>
          <w:szCs w:val="22"/>
        </w:rPr>
        <w:t>Meeting Month, Day, Year</w:t>
      </w:r>
    </w:p>
    <w:p w:rsidR="00C77307" w:rsidRPr="00FF3125" w:rsidRDefault="00C77307" w:rsidP="00C77307">
      <w:pPr>
        <w:rPr>
          <w:rFonts w:ascii="Arial" w:hAnsi="Arial" w:cs="Arial"/>
          <w:sz w:val="22"/>
          <w:szCs w:val="22"/>
        </w:rPr>
      </w:pPr>
    </w:p>
    <w:p w:rsidR="00C77307" w:rsidRPr="00FF3125" w:rsidRDefault="00C77307" w:rsidP="00C77307">
      <w:pPr>
        <w:ind w:left="1440" w:hanging="1440"/>
        <w:rPr>
          <w:rFonts w:ascii="Arial" w:hAnsi="Arial" w:cs="Arial"/>
          <w:b/>
          <w:bCs/>
          <w:sz w:val="22"/>
          <w:szCs w:val="22"/>
        </w:rPr>
      </w:pPr>
      <w:r w:rsidRPr="00FF3125">
        <w:rPr>
          <w:rFonts w:ascii="Arial" w:hAnsi="Arial" w:cs="Arial"/>
          <w:b/>
          <w:bCs/>
          <w:sz w:val="22"/>
          <w:szCs w:val="22"/>
        </w:rPr>
        <w:t>SUBJECT:</w:t>
      </w:r>
      <w:r w:rsidRPr="00FF3125">
        <w:rPr>
          <w:rFonts w:ascii="Arial" w:hAnsi="Arial" w:cs="Arial"/>
          <w:b/>
          <w:bCs/>
          <w:sz w:val="22"/>
          <w:szCs w:val="22"/>
        </w:rPr>
        <w:tab/>
      </w:r>
      <w:r w:rsidRPr="00FF3125">
        <w:rPr>
          <w:rFonts w:ascii="Arial" w:hAnsi="Arial" w:cs="Arial"/>
          <w:b/>
          <w:bCs/>
          <w:color w:val="00B050"/>
          <w:sz w:val="22"/>
          <w:szCs w:val="22"/>
        </w:rPr>
        <w:t>Title of Agenda Item</w:t>
      </w:r>
      <w:r w:rsidR="00FF3125">
        <w:rPr>
          <w:rFonts w:ascii="Arial" w:hAnsi="Arial" w:cs="Arial"/>
          <w:b/>
          <w:bCs/>
          <w:color w:val="00B050"/>
          <w:sz w:val="22"/>
          <w:szCs w:val="22"/>
        </w:rPr>
        <w:t xml:space="preserve"> (bolded)</w:t>
      </w:r>
    </w:p>
    <w:p w:rsidR="00C77307" w:rsidRPr="00FF3125" w:rsidRDefault="00C77307" w:rsidP="00C77307">
      <w:pPr>
        <w:ind w:left="1440" w:hanging="1440"/>
        <w:rPr>
          <w:rFonts w:ascii="Arial" w:hAnsi="Arial" w:cs="Arial"/>
          <w:b/>
          <w:bCs/>
          <w:sz w:val="22"/>
          <w:szCs w:val="22"/>
        </w:rPr>
      </w:pPr>
      <w:r w:rsidRPr="00FF3125">
        <w:rPr>
          <w:rFonts w:ascii="Arial" w:hAnsi="Arial" w:cs="Arial"/>
          <w:b/>
          <w:bCs/>
          <w:sz w:val="22"/>
          <w:szCs w:val="22"/>
        </w:rPr>
        <w:tab/>
      </w:r>
      <w:r w:rsidRPr="00FF3125">
        <w:rPr>
          <w:rFonts w:ascii="Arial" w:hAnsi="Arial" w:cs="Arial"/>
          <w:b/>
          <w:bCs/>
          <w:sz w:val="22"/>
          <w:szCs w:val="22"/>
        </w:rPr>
        <w:tab/>
      </w:r>
    </w:p>
    <w:p w:rsidR="005B3EE9" w:rsidRPr="00FF3125" w:rsidRDefault="00C77307" w:rsidP="005B3EE9">
      <w:pPr>
        <w:pBdr>
          <w:bottom w:val="single" w:sz="12" w:space="1" w:color="auto"/>
        </w:pBdr>
        <w:rPr>
          <w:rFonts w:ascii="Arial" w:hAnsi="Arial" w:cs="Arial"/>
          <w:b/>
          <w:bCs/>
          <w:sz w:val="22"/>
          <w:szCs w:val="22"/>
        </w:rPr>
      </w:pPr>
      <w:r w:rsidRPr="00FF3125">
        <w:rPr>
          <w:rFonts w:ascii="Arial" w:hAnsi="Arial" w:cs="Arial"/>
          <w:b/>
          <w:bCs/>
          <w:sz w:val="22"/>
          <w:szCs w:val="22"/>
        </w:rPr>
        <w:t>PURPOSE:</w:t>
      </w:r>
      <w:r w:rsidRPr="00FF3125">
        <w:rPr>
          <w:rFonts w:ascii="Arial" w:hAnsi="Arial" w:cs="Arial"/>
          <w:b/>
          <w:bCs/>
          <w:sz w:val="22"/>
          <w:szCs w:val="22"/>
        </w:rPr>
        <w:tab/>
      </w:r>
      <w:r w:rsidRPr="00FF3125">
        <w:rPr>
          <w:rFonts w:ascii="Arial" w:hAnsi="Arial" w:cs="Arial"/>
          <w:bCs/>
          <w:sz w:val="22"/>
          <w:szCs w:val="22"/>
        </w:rPr>
        <w:t>Action Item</w:t>
      </w:r>
    </w:p>
    <w:p w:rsidR="005B3EE9" w:rsidRPr="00FF3125" w:rsidRDefault="005B3EE9" w:rsidP="005B3EE9">
      <w:pPr>
        <w:rPr>
          <w:rFonts w:ascii="Arial" w:hAnsi="Arial" w:cs="Arial"/>
          <w:b/>
          <w:bCs/>
          <w:sz w:val="16"/>
          <w:szCs w:val="16"/>
        </w:rPr>
      </w:pPr>
    </w:p>
    <w:p w:rsidR="005B3EE9" w:rsidRPr="00FF3125" w:rsidRDefault="005B3EE9" w:rsidP="005B3EE9">
      <w:pPr>
        <w:rPr>
          <w:rFonts w:ascii="Arial" w:hAnsi="Arial" w:cs="Arial"/>
          <w:b/>
          <w:bCs/>
          <w:sz w:val="22"/>
          <w:szCs w:val="22"/>
        </w:rPr>
      </w:pPr>
      <w:r w:rsidRPr="00FF3125">
        <w:rPr>
          <w:rFonts w:ascii="Arial" w:hAnsi="Arial" w:cs="Arial"/>
          <w:b/>
          <w:bCs/>
          <w:sz w:val="22"/>
          <w:szCs w:val="22"/>
        </w:rPr>
        <w:t>Purpose of Submittal:</w:t>
      </w:r>
    </w:p>
    <w:p w:rsidR="00C77307" w:rsidRPr="00FF3125" w:rsidRDefault="00C77307" w:rsidP="00C77307">
      <w:pPr>
        <w:pStyle w:val="NormalWeb"/>
        <w:shd w:val="clear" w:color="auto" w:fill="FFFFFF"/>
        <w:rPr>
          <w:rFonts w:ascii="Arial" w:hAnsi="Arial" w:cs="Arial"/>
          <w:i/>
          <w:color w:val="00B050"/>
          <w:sz w:val="22"/>
          <w:szCs w:val="22"/>
        </w:rPr>
      </w:pPr>
      <w:r w:rsidRPr="00FF3125">
        <w:rPr>
          <w:rFonts w:ascii="Arial" w:hAnsi="Arial" w:cs="Arial"/>
          <w:i/>
          <w:color w:val="00B050"/>
          <w:sz w:val="22"/>
          <w:szCs w:val="22"/>
        </w:rPr>
        <w:t xml:space="preserve">(Simple statement stating the purpose of the action item) </w:t>
      </w:r>
    </w:p>
    <w:p w:rsidR="005B3EE9" w:rsidRPr="00FF3125" w:rsidRDefault="005B3EE9" w:rsidP="005B3EE9">
      <w:pPr>
        <w:rPr>
          <w:rFonts w:ascii="Arial" w:hAnsi="Arial" w:cs="Arial"/>
          <w:sz w:val="22"/>
          <w:szCs w:val="22"/>
        </w:rPr>
      </w:pPr>
      <w:r w:rsidRPr="00FF3125">
        <w:rPr>
          <w:rFonts w:ascii="Arial" w:hAnsi="Arial" w:cs="Arial"/>
          <w:sz w:val="22"/>
          <w:szCs w:val="22"/>
        </w:rPr>
        <w:t>To obtain approval from the Board for increases in rates for Housing and Dining room and board for 2015-2016.</w:t>
      </w:r>
    </w:p>
    <w:p w:rsidR="005B3EE9" w:rsidRPr="00FF3125" w:rsidRDefault="005B3EE9" w:rsidP="005B3EE9">
      <w:pPr>
        <w:rPr>
          <w:rFonts w:ascii="Arial" w:hAnsi="Arial" w:cs="Arial"/>
          <w:sz w:val="16"/>
          <w:szCs w:val="16"/>
        </w:rPr>
      </w:pPr>
    </w:p>
    <w:p w:rsidR="00C77307" w:rsidRPr="00FF3125" w:rsidRDefault="00C77307" w:rsidP="00C77307">
      <w:pPr>
        <w:rPr>
          <w:rFonts w:ascii="Arial" w:hAnsi="Arial" w:cs="Arial"/>
          <w:b/>
          <w:bCs/>
          <w:sz w:val="22"/>
          <w:szCs w:val="22"/>
        </w:rPr>
      </w:pPr>
      <w:r w:rsidRPr="00FF3125">
        <w:rPr>
          <w:rFonts w:ascii="Arial" w:hAnsi="Arial" w:cs="Arial"/>
          <w:b/>
          <w:bCs/>
          <w:sz w:val="22"/>
          <w:szCs w:val="22"/>
        </w:rPr>
        <w:t xml:space="preserve">Proposed Motion:  </w:t>
      </w:r>
    </w:p>
    <w:p w:rsidR="00C77307" w:rsidRPr="00FF3125" w:rsidRDefault="00C77307" w:rsidP="00C77307">
      <w:pPr>
        <w:pStyle w:val="NormalWeb"/>
        <w:shd w:val="clear" w:color="auto" w:fill="FFFFFF"/>
        <w:rPr>
          <w:rFonts w:ascii="Arial" w:hAnsi="Arial" w:cs="Arial"/>
          <w:i/>
          <w:color w:val="00B050"/>
          <w:sz w:val="22"/>
          <w:szCs w:val="22"/>
        </w:rPr>
      </w:pPr>
      <w:r w:rsidRPr="00FF3125">
        <w:rPr>
          <w:rFonts w:ascii="Arial" w:hAnsi="Arial" w:cs="Arial"/>
          <w:i/>
          <w:color w:val="00B050"/>
          <w:sz w:val="22"/>
          <w:szCs w:val="22"/>
        </w:rPr>
        <w:t>(Legal wording for the requested action. This is what the Trustees will say in the meeting to approve request.)</w:t>
      </w:r>
    </w:p>
    <w:p w:rsidR="00C77307" w:rsidRPr="00FF3125" w:rsidRDefault="00C77307" w:rsidP="00C77307">
      <w:pPr>
        <w:rPr>
          <w:rFonts w:ascii="Arial" w:hAnsi="Arial" w:cs="Arial"/>
          <w:sz w:val="22"/>
          <w:szCs w:val="22"/>
        </w:rPr>
      </w:pPr>
      <w:r w:rsidRPr="00FF3125">
        <w:rPr>
          <w:rFonts w:ascii="Arial" w:hAnsi="Arial" w:cs="Arial"/>
          <w:sz w:val="22"/>
          <w:szCs w:val="22"/>
        </w:rPr>
        <w:t>MOVED, that the Board of Trustees of Western Washington University, upon recommendation of the President, approve the Housing and Dining rates as proposed in the attached. The 2015-2016 proposed rates call for a 3.0 percent increase in residence hall and Birnam Wood apartment rental rates.</w:t>
      </w:r>
    </w:p>
    <w:p w:rsidR="00C77307" w:rsidRPr="00FF3125" w:rsidRDefault="00C77307" w:rsidP="005B3EE9">
      <w:pPr>
        <w:rPr>
          <w:rFonts w:ascii="Arial" w:hAnsi="Arial" w:cs="Arial"/>
          <w:sz w:val="16"/>
          <w:szCs w:val="16"/>
        </w:rPr>
      </w:pPr>
    </w:p>
    <w:p w:rsidR="005B3EE9" w:rsidRPr="00FF3125" w:rsidRDefault="005B3EE9" w:rsidP="005B3EE9">
      <w:pPr>
        <w:rPr>
          <w:rFonts w:ascii="Arial" w:hAnsi="Arial" w:cs="Arial"/>
          <w:b/>
          <w:bCs/>
          <w:sz w:val="22"/>
          <w:szCs w:val="22"/>
        </w:rPr>
      </w:pPr>
      <w:r w:rsidRPr="00FF3125">
        <w:rPr>
          <w:rFonts w:ascii="Arial" w:hAnsi="Arial" w:cs="Arial"/>
          <w:b/>
          <w:bCs/>
          <w:sz w:val="22"/>
          <w:szCs w:val="22"/>
        </w:rPr>
        <w:t>Points to Consider:</w:t>
      </w:r>
    </w:p>
    <w:p w:rsidR="00C77307" w:rsidRPr="00FF3125" w:rsidRDefault="00C77307" w:rsidP="00C77307">
      <w:pPr>
        <w:pStyle w:val="NormalWeb"/>
        <w:shd w:val="clear" w:color="auto" w:fill="FFFFFF"/>
        <w:rPr>
          <w:rFonts w:ascii="Arial" w:hAnsi="Arial" w:cs="Arial"/>
          <w:i/>
          <w:color w:val="00B050"/>
          <w:sz w:val="22"/>
          <w:szCs w:val="22"/>
        </w:rPr>
      </w:pPr>
      <w:r w:rsidRPr="00FF3125">
        <w:rPr>
          <w:rFonts w:ascii="Arial" w:hAnsi="Arial" w:cs="Arial"/>
          <w:i/>
          <w:color w:val="00B050"/>
          <w:sz w:val="22"/>
          <w:szCs w:val="22"/>
        </w:rPr>
        <w:t>(Brief main points of information on the subject, enough for the Trustees to understand the request.)</w:t>
      </w:r>
    </w:p>
    <w:p w:rsidR="005B3EE9" w:rsidRPr="00FF3125" w:rsidRDefault="005B3EE9" w:rsidP="005B3EE9">
      <w:pPr>
        <w:numPr>
          <w:ilvl w:val="0"/>
          <w:numId w:val="3"/>
        </w:numPr>
        <w:tabs>
          <w:tab w:val="left" w:pos="748"/>
          <w:tab w:val="left" w:pos="1122"/>
          <w:tab w:val="left" w:pos="1496"/>
        </w:tabs>
        <w:rPr>
          <w:rFonts w:ascii="Arial" w:hAnsi="Arial" w:cs="Arial"/>
          <w:sz w:val="22"/>
          <w:szCs w:val="22"/>
        </w:rPr>
      </w:pPr>
      <w:r w:rsidRPr="00FF3125">
        <w:rPr>
          <w:rFonts w:ascii="Arial" w:hAnsi="Arial" w:cs="Arial"/>
          <w:sz w:val="22"/>
          <w:szCs w:val="22"/>
        </w:rPr>
        <w:t xml:space="preserve">The rate increase addresses modest inflation and capital plan expenditures, and supports initiatives to improve student academic success and enhance residential services.  </w:t>
      </w:r>
    </w:p>
    <w:p w:rsidR="005B3EE9" w:rsidRPr="00FF3125" w:rsidRDefault="005B3EE9" w:rsidP="005B3EE9">
      <w:pPr>
        <w:numPr>
          <w:ilvl w:val="0"/>
          <w:numId w:val="3"/>
        </w:numPr>
        <w:tabs>
          <w:tab w:val="left" w:pos="748"/>
          <w:tab w:val="left" w:pos="1122"/>
          <w:tab w:val="left" w:pos="1496"/>
        </w:tabs>
        <w:rPr>
          <w:rFonts w:ascii="Arial" w:hAnsi="Arial" w:cs="Arial"/>
          <w:sz w:val="22"/>
          <w:szCs w:val="22"/>
        </w:rPr>
      </w:pPr>
      <w:r w:rsidRPr="00FF3125">
        <w:rPr>
          <w:rFonts w:ascii="Arial" w:hAnsi="Arial" w:cs="Arial"/>
          <w:sz w:val="22"/>
          <w:szCs w:val="22"/>
        </w:rPr>
        <w:t>The proposed 3.0% rate increase allows investment for scheduled renovations; is in the rate increase range of 3.5% – 5% projected in the 10-year capital plan; and is sensitive to students’ total WWU cost.</w:t>
      </w:r>
    </w:p>
    <w:p w:rsidR="005B3EE9" w:rsidRPr="00FF3125" w:rsidRDefault="005B3EE9" w:rsidP="005B3EE9">
      <w:pPr>
        <w:numPr>
          <w:ilvl w:val="0"/>
          <w:numId w:val="3"/>
        </w:numPr>
        <w:tabs>
          <w:tab w:val="left" w:pos="748"/>
          <w:tab w:val="left" w:pos="1122"/>
          <w:tab w:val="left" w:pos="1496"/>
        </w:tabs>
        <w:rPr>
          <w:rFonts w:ascii="Arial" w:hAnsi="Arial" w:cs="Arial"/>
          <w:sz w:val="22"/>
          <w:szCs w:val="22"/>
        </w:rPr>
      </w:pPr>
      <w:r w:rsidRPr="00FF3125">
        <w:rPr>
          <w:rFonts w:ascii="Arial" w:hAnsi="Arial" w:cs="Arial"/>
          <w:sz w:val="22"/>
          <w:szCs w:val="22"/>
        </w:rPr>
        <w:t>The current long-term capital plan, shared at the Trustee’s December 2014 meeting, was based on the approximate rate increases shown below. Capital plan revisions and adjustments to inflation estimates may result in changes to these estimates.</w:t>
      </w:r>
    </w:p>
    <w:p w:rsidR="005B3EE9" w:rsidRPr="00FF3125" w:rsidRDefault="005B3EE9" w:rsidP="005B3EE9">
      <w:pPr>
        <w:tabs>
          <w:tab w:val="left" w:pos="374"/>
          <w:tab w:val="left" w:pos="748"/>
          <w:tab w:val="left" w:pos="1122"/>
          <w:tab w:val="left" w:pos="1496"/>
        </w:tabs>
        <w:ind w:left="720" w:hanging="720"/>
        <w:rPr>
          <w:rFonts w:ascii="Arial" w:hAnsi="Arial" w:cs="Arial"/>
          <w:sz w:val="16"/>
          <w:szCs w:val="16"/>
        </w:rPr>
      </w:pPr>
    </w:p>
    <w:p w:rsidR="005B3EE9" w:rsidRPr="00FF3125" w:rsidRDefault="005B3EE9" w:rsidP="005B3EE9">
      <w:pPr>
        <w:tabs>
          <w:tab w:val="left" w:pos="374"/>
          <w:tab w:val="left" w:pos="748"/>
          <w:tab w:val="left" w:pos="1122"/>
          <w:tab w:val="left" w:pos="1496"/>
        </w:tabs>
        <w:ind w:left="360"/>
        <w:rPr>
          <w:rFonts w:ascii="Arial" w:hAnsi="Arial" w:cs="Arial"/>
          <w:sz w:val="22"/>
          <w:szCs w:val="22"/>
          <w:u w:val="single"/>
        </w:rPr>
      </w:pPr>
      <w:r w:rsidRPr="00FF3125">
        <w:rPr>
          <w:rFonts w:ascii="Arial" w:hAnsi="Arial" w:cs="Arial"/>
          <w:sz w:val="22"/>
          <w:szCs w:val="22"/>
        </w:rPr>
        <w:t>Year</w:t>
      </w:r>
      <w:r w:rsidRPr="00FF3125">
        <w:rPr>
          <w:rFonts w:ascii="Arial" w:hAnsi="Arial" w:cs="Arial"/>
          <w:sz w:val="22"/>
          <w:szCs w:val="22"/>
        </w:rPr>
        <w:tab/>
      </w:r>
      <w:r w:rsidRPr="00FF3125">
        <w:rPr>
          <w:rFonts w:ascii="Arial" w:hAnsi="Arial" w:cs="Arial"/>
          <w:sz w:val="22"/>
          <w:szCs w:val="22"/>
        </w:rPr>
        <w:tab/>
      </w:r>
      <w:r w:rsidRPr="00FF3125">
        <w:rPr>
          <w:rFonts w:ascii="Arial" w:hAnsi="Arial" w:cs="Arial"/>
          <w:sz w:val="22"/>
          <w:szCs w:val="22"/>
        </w:rPr>
        <w:tab/>
      </w:r>
      <w:r w:rsidRPr="00FF3125">
        <w:rPr>
          <w:rFonts w:ascii="Arial" w:hAnsi="Arial" w:cs="Arial"/>
          <w:sz w:val="22"/>
          <w:szCs w:val="22"/>
          <w:u w:val="single"/>
        </w:rPr>
        <w:t>FY12</w:t>
      </w:r>
      <w:r w:rsidRPr="00FF3125">
        <w:rPr>
          <w:rFonts w:ascii="Arial" w:hAnsi="Arial" w:cs="Arial"/>
          <w:sz w:val="22"/>
          <w:szCs w:val="22"/>
          <w:u w:val="single"/>
        </w:rPr>
        <w:tab/>
      </w:r>
      <w:r w:rsidRPr="00FF3125">
        <w:rPr>
          <w:rFonts w:ascii="Arial" w:hAnsi="Arial" w:cs="Arial"/>
          <w:sz w:val="22"/>
          <w:szCs w:val="22"/>
          <w:u w:val="single"/>
        </w:rPr>
        <w:tab/>
        <w:t>FY13</w:t>
      </w:r>
      <w:r w:rsidRPr="00FF3125">
        <w:rPr>
          <w:rFonts w:ascii="Arial" w:hAnsi="Arial" w:cs="Arial"/>
          <w:sz w:val="22"/>
          <w:szCs w:val="22"/>
          <w:u w:val="single"/>
        </w:rPr>
        <w:tab/>
      </w:r>
      <w:r w:rsidRPr="00FF3125">
        <w:rPr>
          <w:rFonts w:ascii="Arial" w:hAnsi="Arial" w:cs="Arial"/>
          <w:sz w:val="22"/>
          <w:szCs w:val="22"/>
          <w:u w:val="single"/>
        </w:rPr>
        <w:tab/>
        <w:t>FY14</w:t>
      </w:r>
      <w:r w:rsidRPr="00FF3125">
        <w:rPr>
          <w:rFonts w:ascii="Arial" w:hAnsi="Arial" w:cs="Arial"/>
          <w:sz w:val="22"/>
          <w:szCs w:val="22"/>
          <w:u w:val="single"/>
        </w:rPr>
        <w:tab/>
      </w:r>
      <w:r w:rsidRPr="00FF3125">
        <w:rPr>
          <w:rFonts w:ascii="Arial" w:hAnsi="Arial" w:cs="Arial"/>
          <w:sz w:val="22"/>
          <w:szCs w:val="22"/>
          <w:u w:val="single"/>
        </w:rPr>
        <w:tab/>
        <w:t>FY15</w:t>
      </w:r>
      <w:r w:rsidRPr="00FF3125">
        <w:rPr>
          <w:rFonts w:ascii="Arial" w:hAnsi="Arial" w:cs="Arial"/>
          <w:sz w:val="22"/>
          <w:szCs w:val="22"/>
          <w:u w:val="single"/>
        </w:rPr>
        <w:tab/>
      </w:r>
      <w:r w:rsidRPr="00FF3125">
        <w:rPr>
          <w:rFonts w:ascii="Arial" w:hAnsi="Arial" w:cs="Arial"/>
          <w:sz w:val="22"/>
          <w:szCs w:val="22"/>
          <w:u w:val="single"/>
        </w:rPr>
        <w:tab/>
        <w:t xml:space="preserve">FY16  </w:t>
      </w:r>
      <w:r w:rsidRPr="00FF3125">
        <w:rPr>
          <w:rFonts w:ascii="Arial" w:hAnsi="Arial" w:cs="Arial"/>
          <w:sz w:val="22"/>
          <w:szCs w:val="22"/>
          <w:u w:val="single"/>
        </w:rPr>
        <w:tab/>
      </w:r>
    </w:p>
    <w:p w:rsidR="005B3EE9" w:rsidRPr="00FF3125" w:rsidRDefault="005B3EE9" w:rsidP="005B3EE9">
      <w:pPr>
        <w:tabs>
          <w:tab w:val="left" w:pos="374"/>
          <w:tab w:val="left" w:pos="748"/>
          <w:tab w:val="left" w:pos="1122"/>
          <w:tab w:val="left" w:pos="1496"/>
        </w:tabs>
        <w:ind w:left="720" w:hanging="720"/>
        <w:rPr>
          <w:rFonts w:ascii="Arial" w:hAnsi="Arial" w:cs="Arial"/>
          <w:sz w:val="22"/>
          <w:szCs w:val="22"/>
        </w:rPr>
      </w:pPr>
      <w:r w:rsidRPr="00FF3125">
        <w:rPr>
          <w:rFonts w:ascii="Arial" w:hAnsi="Arial" w:cs="Arial"/>
          <w:sz w:val="22"/>
          <w:szCs w:val="22"/>
        </w:rPr>
        <w:tab/>
      </w:r>
      <w:r w:rsidRPr="00FF3125">
        <w:rPr>
          <w:rFonts w:ascii="Arial" w:hAnsi="Arial" w:cs="Arial"/>
          <w:i/>
          <w:sz w:val="22"/>
          <w:szCs w:val="22"/>
        </w:rPr>
        <w:t>Estimated</w:t>
      </w:r>
      <w:r w:rsidRPr="00FF3125">
        <w:rPr>
          <w:rFonts w:ascii="Arial" w:hAnsi="Arial" w:cs="Arial"/>
          <w:sz w:val="22"/>
          <w:szCs w:val="22"/>
        </w:rPr>
        <w:tab/>
      </w:r>
      <w:r w:rsidRPr="00FF3125">
        <w:rPr>
          <w:rFonts w:ascii="Arial" w:hAnsi="Arial" w:cs="Arial"/>
          <w:sz w:val="22"/>
          <w:szCs w:val="22"/>
        </w:rPr>
        <w:tab/>
      </w:r>
      <w:r w:rsidRPr="00FF3125">
        <w:rPr>
          <w:rFonts w:ascii="Arial" w:hAnsi="Arial" w:cs="Arial"/>
          <w:i/>
          <w:sz w:val="22"/>
          <w:szCs w:val="22"/>
        </w:rPr>
        <w:t>4.75%</w:t>
      </w:r>
      <w:r w:rsidRPr="00FF3125">
        <w:rPr>
          <w:rFonts w:ascii="Arial" w:hAnsi="Arial" w:cs="Arial"/>
          <w:i/>
          <w:sz w:val="22"/>
          <w:szCs w:val="22"/>
        </w:rPr>
        <w:tab/>
      </w:r>
      <w:r w:rsidRPr="00FF3125">
        <w:rPr>
          <w:rFonts w:ascii="Arial" w:hAnsi="Arial" w:cs="Arial"/>
          <w:i/>
          <w:sz w:val="22"/>
          <w:szCs w:val="22"/>
        </w:rPr>
        <w:tab/>
        <w:t>4.75%</w:t>
      </w:r>
      <w:r w:rsidRPr="00FF3125">
        <w:rPr>
          <w:rFonts w:ascii="Arial" w:hAnsi="Arial" w:cs="Arial"/>
          <w:i/>
          <w:sz w:val="22"/>
          <w:szCs w:val="22"/>
        </w:rPr>
        <w:tab/>
      </w:r>
      <w:r w:rsidRPr="00FF3125">
        <w:rPr>
          <w:rFonts w:ascii="Arial" w:hAnsi="Arial" w:cs="Arial"/>
          <w:i/>
          <w:sz w:val="22"/>
          <w:szCs w:val="22"/>
        </w:rPr>
        <w:tab/>
        <w:t>3.50%</w:t>
      </w:r>
      <w:r w:rsidRPr="00FF3125">
        <w:rPr>
          <w:rFonts w:ascii="Arial" w:hAnsi="Arial" w:cs="Arial"/>
          <w:i/>
          <w:sz w:val="22"/>
          <w:szCs w:val="22"/>
        </w:rPr>
        <w:tab/>
      </w:r>
      <w:r w:rsidRPr="00FF3125">
        <w:rPr>
          <w:rFonts w:ascii="Arial" w:hAnsi="Arial" w:cs="Arial"/>
          <w:i/>
          <w:sz w:val="22"/>
          <w:szCs w:val="22"/>
        </w:rPr>
        <w:tab/>
        <w:t>4.25%</w:t>
      </w:r>
      <w:r w:rsidRPr="00FF3125">
        <w:rPr>
          <w:rFonts w:ascii="Arial" w:hAnsi="Arial" w:cs="Arial"/>
          <w:i/>
          <w:sz w:val="22"/>
          <w:szCs w:val="22"/>
        </w:rPr>
        <w:tab/>
      </w:r>
      <w:r w:rsidRPr="00FF3125">
        <w:rPr>
          <w:rFonts w:ascii="Arial" w:hAnsi="Arial" w:cs="Arial"/>
          <w:i/>
          <w:sz w:val="22"/>
          <w:szCs w:val="22"/>
        </w:rPr>
        <w:tab/>
        <w:t>3.50%</w:t>
      </w:r>
    </w:p>
    <w:p w:rsidR="005B3EE9" w:rsidRPr="00FF3125" w:rsidRDefault="005B3EE9" w:rsidP="005B3EE9">
      <w:pPr>
        <w:tabs>
          <w:tab w:val="left" w:pos="374"/>
          <w:tab w:val="left" w:pos="748"/>
          <w:tab w:val="left" w:pos="1122"/>
          <w:tab w:val="left" w:pos="1496"/>
        </w:tabs>
        <w:ind w:left="720" w:hanging="720"/>
        <w:rPr>
          <w:rFonts w:ascii="Arial" w:hAnsi="Arial" w:cs="Arial"/>
          <w:sz w:val="22"/>
          <w:szCs w:val="22"/>
        </w:rPr>
      </w:pPr>
      <w:r w:rsidRPr="00FF3125">
        <w:rPr>
          <w:rFonts w:ascii="Arial" w:hAnsi="Arial" w:cs="Arial"/>
          <w:sz w:val="22"/>
          <w:szCs w:val="22"/>
        </w:rPr>
        <w:tab/>
        <w:t>Actual/</w:t>
      </w:r>
      <w:r w:rsidRPr="00FF3125">
        <w:rPr>
          <w:rFonts w:ascii="Arial" w:hAnsi="Arial" w:cs="Arial"/>
          <w:i/>
          <w:sz w:val="22"/>
          <w:szCs w:val="22"/>
        </w:rPr>
        <w:t>proposed</w:t>
      </w:r>
      <w:r w:rsidRPr="00FF3125">
        <w:rPr>
          <w:rFonts w:ascii="Arial" w:hAnsi="Arial" w:cs="Arial"/>
          <w:sz w:val="22"/>
          <w:szCs w:val="22"/>
        </w:rPr>
        <w:tab/>
        <w:t>4.00%</w:t>
      </w:r>
      <w:r w:rsidRPr="00FF3125">
        <w:rPr>
          <w:rFonts w:ascii="Arial" w:hAnsi="Arial" w:cs="Arial"/>
          <w:sz w:val="22"/>
          <w:szCs w:val="22"/>
        </w:rPr>
        <w:tab/>
      </w:r>
      <w:r w:rsidRPr="00FF3125">
        <w:rPr>
          <w:rFonts w:ascii="Arial" w:hAnsi="Arial" w:cs="Arial"/>
          <w:sz w:val="22"/>
          <w:szCs w:val="22"/>
        </w:rPr>
        <w:tab/>
        <w:t>3.00%</w:t>
      </w:r>
      <w:r w:rsidRPr="00FF3125">
        <w:rPr>
          <w:rFonts w:ascii="Arial" w:hAnsi="Arial" w:cs="Arial"/>
          <w:sz w:val="22"/>
          <w:szCs w:val="22"/>
        </w:rPr>
        <w:tab/>
      </w:r>
      <w:r w:rsidRPr="00FF3125">
        <w:rPr>
          <w:rFonts w:ascii="Arial" w:hAnsi="Arial" w:cs="Arial"/>
          <w:sz w:val="22"/>
          <w:szCs w:val="22"/>
        </w:rPr>
        <w:tab/>
        <w:t>3.00%</w:t>
      </w:r>
      <w:r w:rsidRPr="00FF3125">
        <w:rPr>
          <w:rFonts w:ascii="Arial" w:hAnsi="Arial" w:cs="Arial"/>
          <w:sz w:val="22"/>
          <w:szCs w:val="22"/>
        </w:rPr>
        <w:tab/>
      </w:r>
      <w:r w:rsidRPr="00FF3125">
        <w:rPr>
          <w:rFonts w:ascii="Arial" w:hAnsi="Arial" w:cs="Arial"/>
          <w:sz w:val="22"/>
          <w:szCs w:val="22"/>
        </w:rPr>
        <w:tab/>
        <w:t>4.00%</w:t>
      </w:r>
      <w:r w:rsidRPr="00FF3125">
        <w:rPr>
          <w:rFonts w:ascii="Arial" w:hAnsi="Arial" w:cs="Arial"/>
          <w:i/>
          <w:sz w:val="22"/>
          <w:szCs w:val="22"/>
        </w:rPr>
        <w:tab/>
      </w:r>
      <w:r w:rsidRPr="00FF3125">
        <w:rPr>
          <w:rFonts w:ascii="Arial" w:hAnsi="Arial" w:cs="Arial"/>
          <w:i/>
          <w:sz w:val="22"/>
          <w:szCs w:val="22"/>
        </w:rPr>
        <w:tab/>
        <w:t>3.00%</w:t>
      </w:r>
    </w:p>
    <w:p w:rsidR="005B3EE9" w:rsidRPr="00FF3125" w:rsidRDefault="005B3EE9" w:rsidP="005B3EE9">
      <w:pPr>
        <w:tabs>
          <w:tab w:val="left" w:pos="374"/>
          <w:tab w:val="left" w:pos="748"/>
          <w:tab w:val="left" w:pos="1122"/>
          <w:tab w:val="left" w:pos="1496"/>
        </w:tabs>
        <w:ind w:left="720" w:hanging="720"/>
        <w:rPr>
          <w:rFonts w:ascii="Arial" w:hAnsi="Arial" w:cs="Arial"/>
          <w:sz w:val="22"/>
          <w:szCs w:val="22"/>
        </w:rPr>
      </w:pPr>
    </w:p>
    <w:p w:rsidR="005B3EE9" w:rsidRPr="00FF3125" w:rsidRDefault="005B3EE9" w:rsidP="005B3EE9">
      <w:pPr>
        <w:tabs>
          <w:tab w:val="left" w:pos="374"/>
          <w:tab w:val="left" w:pos="748"/>
          <w:tab w:val="left" w:pos="1122"/>
          <w:tab w:val="left" w:pos="1496"/>
        </w:tabs>
        <w:ind w:left="720" w:hanging="720"/>
        <w:rPr>
          <w:rFonts w:ascii="Arial" w:hAnsi="Arial" w:cs="Arial"/>
          <w:sz w:val="22"/>
          <w:szCs w:val="22"/>
          <w:u w:val="single"/>
        </w:rPr>
      </w:pPr>
      <w:r w:rsidRPr="00FF3125">
        <w:rPr>
          <w:rFonts w:ascii="Arial" w:hAnsi="Arial" w:cs="Arial"/>
          <w:sz w:val="22"/>
          <w:szCs w:val="22"/>
        </w:rPr>
        <w:tab/>
        <w:t>Year</w:t>
      </w:r>
      <w:r w:rsidRPr="00FF3125">
        <w:rPr>
          <w:rFonts w:ascii="Arial" w:hAnsi="Arial" w:cs="Arial"/>
          <w:sz w:val="22"/>
          <w:szCs w:val="22"/>
        </w:rPr>
        <w:tab/>
      </w:r>
      <w:r w:rsidRPr="00FF3125">
        <w:rPr>
          <w:rFonts w:ascii="Arial" w:hAnsi="Arial" w:cs="Arial"/>
          <w:sz w:val="22"/>
          <w:szCs w:val="22"/>
        </w:rPr>
        <w:tab/>
      </w:r>
      <w:r w:rsidRPr="00FF3125">
        <w:rPr>
          <w:rFonts w:ascii="Arial" w:hAnsi="Arial" w:cs="Arial"/>
          <w:sz w:val="22"/>
          <w:szCs w:val="22"/>
        </w:rPr>
        <w:tab/>
      </w:r>
      <w:r w:rsidRPr="00FF3125">
        <w:rPr>
          <w:rFonts w:ascii="Arial" w:hAnsi="Arial" w:cs="Arial"/>
          <w:sz w:val="22"/>
          <w:szCs w:val="22"/>
          <w:u w:val="single"/>
        </w:rPr>
        <w:t>FY17</w:t>
      </w:r>
      <w:r w:rsidRPr="00FF3125">
        <w:rPr>
          <w:rFonts w:ascii="Arial" w:hAnsi="Arial" w:cs="Arial"/>
          <w:sz w:val="22"/>
          <w:szCs w:val="22"/>
          <w:u w:val="single"/>
        </w:rPr>
        <w:tab/>
      </w:r>
      <w:r w:rsidRPr="00FF3125">
        <w:rPr>
          <w:rFonts w:ascii="Arial" w:hAnsi="Arial" w:cs="Arial"/>
          <w:sz w:val="22"/>
          <w:szCs w:val="22"/>
          <w:u w:val="single"/>
        </w:rPr>
        <w:tab/>
        <w:t>FY18</w:t>
      </w:r>
      <w:r w:rsidRPr="00FF3125">
        <w:rPr>
          <w:rFonts w:ascii="Arial" w:hAnsi="Arial" w:cs="Arial"/>
          <w:sz w:val="22"/>
          <w:szCs w:val="22"/>
          <w:u w:val="single"/>
        </w:rPr>
        <w:tab/>
      </w:r>
      <w:r w:rsidRPr="00FF3125">
        <w:rPr>
          <w:rFonts w:ascii="Arial" w:hAnsi="Arial" w:cs="Arial"/>
          <w:sz w:val="22"/>
          <w:szCs w:val="22"/>
          <w:u w:val="single"/>
        </w:rPr>
        <w:tab/>
        <w:t>FY19</w:t>
      </w:r>
      <w:r w:rsidRPr="00FF3125">
        <w:rPr>
          <w:rFonts w:ascii="Arial" w:hAnsi="Arial" w:cs="Arial"/>
          <w:sz w:val="22"/>
          <w:szCs w:val="22"/>
          <w:u w:val="single"/>
        </w:rPr>
        <w:tab/>
      </w:r>
      <w:r w:rsidRPr="00FF3125">
        <w:rPr>
          <w:rFonts w:ascii="Arial" w:hAnsi="Arial" w:cs="Arial"/>
          <w:sz w:val="22"/>
          <w:szCs w:val="22"/>
          <w:u w:val="single"/>
        </w:rPr>
        <w:tab/>
        <w:t>FY20</w:t>
      </w:r>
      <w:r w:rsidRPr="00FF3125">
        <w:rPr>
          <w:rFonts w:ascii="Arial" w:hAnsi="Arial" w:cs="Arial"/>
          <w:sz w:val="22"/>
          <w:szCs w:val="22"/>
          <w:u w:val="single"/>
        </w:rPr>
        <w:tab/>
      </w:r>
      <w:r w:rsidRPr="00FF3125">
        <w:rPr>
          <w:rFonts w:ascii="Arial" w:hAnsi="Arial" w:cs="Arial"/>
          <w:sz w:val="22"/>
          <w:szCs w:val="22"/>
          <w:u w:val="single"/>
        </w:rPr>
        <w:tab/>
        <w:t>FY21</w:t>
      </w:r>
    </w:p>
    <w:p w:rsidR="005B3EE9" w:rsidRPr="00FF3125" w:rsidRDefault="005B3EE9" w:rsidP="005B3EE9">
      <w:pPr>
        <w:tabs>
          <w:tab w:val="left" w:pos="374"/>
          <w:tab w:val="left" w:pos="748"/>
          <w:tab w:val="left" w:pos="1122"/>
          <w:tab w:val="left" w:pos="1496"/>
        </w:tabs>
        <w:ind w:left="720" w:hanging="720"/>
        <w:rPr>
          <w:rFonts w:ascii="Arial" w:hAnsi="Arial" w:cs="Arial"/>
          <w:i/>
          <w:sz w:val="22"/>
          <w:szCs w:val="22"/>
        </w:rPr>
      </w:pPr>
      <w:r w:rsidRPr="00FF3125">
        <w:rPr>
          <w:rFonts w:ascii="Arial" w:hAnsi="Arial" w:cs="Arial"/>
          <w:sz w:val="22"/>
          <w:szCs w:val="22"/>
        </w:rPr>
        <w:tab/>
      </w:r>
      <w:r w:rsidRPr="00FF3125">
        <w:rPr>
          <w:rFonts w:ascii="Arial" w:hAnsi="Arial" w:cs="Arial"/>
          <w:i/>
          <w:sz w:val="22"/>
          <w:szCs w:val="22"/>
        </w:rPr>
        <w:t>Estimated</w:t>
      </w:r>
      <w:r w:rsidRPr="00FF3125">
        <w:rPr>
          <w:rFonts w:ascii="Arial" w:hAnsi="Arial" w:cs="Arial"/>
          <w:i/>
          <w:sz w:val="22"/>
          <w:szCs w:val="22"/>
        </w:rPr>
        <w:tab/>
      </w:r>
      <w:r w:rsidRPr="00FF3125">
        <w:rPr>
          <w:rFonts w:ascii="Arial" w:hAnsi="Arial" w:cs="Arial"/>
          <w:i/>
          <w:sz w:val="22"/>
          <w:szCs w:val="22"/>
        </w:rPr>
        <w:tab/>
        <w:t>4.00%</w:t>
      </w:r>
      <w:r w:rsidRPr="00FF3125">
        <w:rPr>
          <w:rFonts w:ascii="Arial" w:hAnsi="Arial" w:cs="Arial"/>
          <w:i/>
          <w:sz w:val="22"/>
          <w:szCs w:val="22"/>
        </w:rPr>
        <w:tab/>
      </w:r>
      <w:r w:rsidRPr="00FF3125">
        <w:rPr>
          <w:rFonts w:ascii="Arial" w:hAnsi="Arial" w:cs="Arial"/>
          <w:i/>
          <w:sz w:val="22"/>
          <w:szCs w:val="22"/>
        </w:rPr>
        <w:tab/>
        <w:t>4.00%</w:t>
      </w:r>
      <w:r w:rsidRPr="00FF3125">
        <w:rPr>
          <w:rFonts w:ascii="Arial" w:hAnsi="Arial" w:cs="Arial"/>
          <w:i/>
          <w:sz w:val="22"/>
          <w:szCs w:val="22"/>
        </w:rPr>
        <w:tab/>
      </w:r>
      <w:r w:rsidRPr="00FF3125">
        <w:rPr>
          <w:rFonts w:ascii="Arial" w:hAnsi="Arial" w:cs="Arial"/>
          <w:i/>
          <w:sz w:val="22"/>
          <w:szCs w:val="22"/>
        </w:rPr>
        <w:tab/>
        <w:t>4.00%</w:t>
      </w:r>
      <w:r w:rsidRPr="00FF3125">
        <w:rPr>
          <w:rFonts w:ascii="Arial" w:hAnsi="Arial" w:cs="Arial"/>
          <w:i/>
          <w:sz w:val="22"/>
          <w:szCs w:val="22"/>
        </w:rPr>
        <w:tab/>
      </w:r>
      <w:r w:rsidRPr="00FF3125">
        <w:rPr>
          <w:rFonts w:ascii="Arial" w:hAnsi="Arial" w:cs="Arial"/>
          <w:i/>
          <w:sz w:val="22"/>
          <w:szCs w:val="22"/>
        </w:rPr>
        <w:tab/>
        <w:t>4.00%</w:t>
      </w:r>
      <w:r w:rsidRPr="00FF3125">
        <w:rPr>
          <w:rFonts w:ascii="Arial" w:hAnsi="Arial" w:cs="Arial"/>
          <w:i/>
          <w:sz w:val="22"/>
          <w:szCs w:val="22"/>
        </w:rPr>
        <w:tab/>
      </w:r>
      <w:r w:rsidRPr="00FF3125">
        <w:rPr>
          <w:rFonts w:ascii="Arial" w:hAnsi="Arial" w:cs="Arial"/>
          <w:i/>
          <w:sz w:val="22"/>
          <w:szCs w:val="22"/>
        </w:rPr>
        <w:tab/>
        <w:t>4.00%</w:t>
      </w:r>
    </w:p>
    <w:p w:rsidR="005B3EE9" w:rsidRPr="00FF3125" w:rsidRDefault="005B3EE9" w:rsidP="005B3EE9">
      <w:pPr>
        <w:tabs>
          <w:tab w:val="left" w:pos="374"/>
          <w:tab w:val="left" w:pos="748"/>
          <w:tab w:val="left" w:pos="1122"/>
          <w:tab w:val="left" w:pos="1496"/>
        </w:tabs>
        <w:ind w:left="720" w:hanging="720"/>
        <w:rPr>
          <w:rFonts w:ascii="Arial" w:hAnsi="Arial" w:cs="Arial"/>
          <w:i/>
          <w:sz w:val="16"/>
          <w:szCs w:val="16"/>
        </w:rPr>
      </w:pPr>
      <w:r w:rsidRPr="00FF3125">
        <w:rPr>
          <w:rFonts w:ascii="Arial" w:hAnsi="Arial" w:cs="Arial"/>
          <w:i/>
          <w:sz w:val="16"/>
          <w:szCs w:val="16"/>
        </w:rPr>
        <w:tab/>
      </w:r>
      <w:r w:rsidRPr="00FF3125">
        <w:rPr>
          <w:rFonts w:ascii="Arial" w:hAnsi="Arial" w:cs="Arial"/>
          <w:i/>
          <w:sz w:val="16"/>
          <w:szCs w:val="16"/>
        </w:rPr>
        <w:tab/>
      </w:r>
      <w:r w:rsidRPr="00FF3125">
        <w:rPr>
          <w:rFonts w:ascii="Arial" w:hAnsi="Arial" w:cs="Arial"/>
          <w:i/>
          <w:sz w:val="16"/>
          <w:szCs w:val="16"/>
        </w:rPr>
        <w:tab/>
      </w:r>
      <w:r w:rsidRPr="00FF3125">
        <w:rPr>
          <w:rFonts w:ascii="Arial" w:hAnsi="Arial" w:cs="Arial"/>
          <w:i/>
          <w:sz w:val="16"/>
          <w:szCs w:val="16"/>
        </w:rPr>
        <w:tab/>
      </w:r>
    </w:p>
    <w:p w:rsidR="005B3EE9" w:rsidRPr="00FF3125" w:rsidRDefault="005B3EE9" w:rsidP="005B3EE9">
      <w:pPr>
        <w:rPr>
          <w:rFonts w:ascii="Arial" w:hAnsi="Arial" w:cs="Arial"/>
          <w:b/>
          <w:bCs/>
          <w:sz w:val="22"/>
          <w:szCs w:val="22"/>
        </w:rPr>
      </w:pPr>
      <w:r w:rsidRPr="00FF3125">
        <w:rPr>
          <w:rFonts w:ascii="Arial" w:hAnsi="Arial" w:cs="Arial"/>
          <w:b/>
          <w:bCs/>
          <w:sz w:val="22"/>
          <w:szCs w:val="22"/>
        </w:rPr>
        <w:t xml:space="preserve">Supporting Information:  </w:t>
      </w:r>
    </w:p>
    <w:p w:rsidR="00C77307" w:rsidRPr="00FF3125" w:rsidRDefault="00C77307" w:rsidP="00C77307">
      <w:pPr>
        <w:pStyle w:val="NormalWeb"/>
        <w:shd w:val="clear" w:color="auto" w:fill="FFFFFF"/>
        <w:rPr>
          <w:rFonts w:ascii="Arial" w:hAnsi="Arial" w:cs="Arial"/>
          <w:i/>
          <w:color w:val="00B050"/>
          <w:sz w:val="22"/>
          <w:szCs w:val="22"/>
        </w:rPr>
      </w:pPr>
      <w:r w:rsidRPr="00FF3125">
        <w:rPr>
          <w:rFonts w:ascii="Arial" w:hAnsi="Arial" w:cs="Arial"/>
          <w:i/>
          <w:color w:val="00B050"/>
          <w:sz w:val="22"/>
          <w:szCs w:val="22"/>
        </w:rPr>
        <w:t xml:space="preserve">(Brief </w:t>
      </w:r>
      <w:r w:rsidR="00BB41B4" w:rsidRPr="00FF3125">
        <w:rPr>
          <w:rFonts w:ascii="Arial" w:hAnsi="Arial" w:cs="Arial"/>
          <w:i/>
          <w:color w:val="00B050"/>
          <w:sz w:val="22"/>
          <w:szCs w:val="22"/>
        </w:rPr>
        <w:t xml:space="preserve">additional </w:t>
      </w:r>
      <w:r w:rsidRPr="00FF3125">
        <w:rPr>
          <w:rFonts w:ascii="Arial" w:hAnsi="Arial" w:cs="Arial"/>
          <w:i/>
          <w:color w:val="00B050"/>
          <w:sz w:val="22"/>
          <w:szCs w:val="22"/>
        </w:rPr>
        <w:t>background information on the subject, enough for the Trustees to understand the request.)</w:t>
      </w:r>
    </w:p>
    <w:p w:rsidR="005B3EE9" w:rsidRPr="00FF3125" w:rsidRDefault="005B3EE9" w:rsidP="005B3EE9">
      <w:pPr>
        <w:numPr>
          <w:ilvl w:val="0"/>
          <w:numId w:val="2"/>
        </w:numPr>
        <w:rPr>
          <w:rFonts w:ascii="Arial" w:hAnsi="Arial" w:cs="Arial"/>
          <w:bCs/>
          <w:sz w:val="22"/>
          <w:szCs w:val="22"/>
        </w:rPr>
      </w:pPr>
      <w:r w:rsidRPr="00FF3125">
        <w:rPr>
          <w:rFonts w:ascii="Arial" w:hAnsi="Arial" w:cs="Arial"/>
          <w:bCs/>
          <w:sz w:val="22"/>
          <w:szCs w:val="22"/>
        </w:rPr>
        <w:t>Housing and Dining Proposed Rates (copy of document shared with student groups)</w:t>
      </w:r>
    </w:p>
    <w:p w:rsidR="005B3EE9" w:rsidRPr="00FF3125" w:rsidRDefault="005B3EE9" w:rsidP="005B3EE9">
      <w:pPr>
        <w:rPr>
          <w:rFonts w:ascii="Arial" w:hAnsi="Arial" w:cs="Arial"/>
          <w:b/>
          <w:bCs/>
          <w:sz w:val="16"/>
          <w:szCs w:val="16"/>
        </w:rPr>
      </w:pPr>
    </w:p>
    <w:p w:rsidR="00A848E0" w:rsidRPr="00FF3125" w:rsidRDefault="00A848E0">
      <w:pPr>
        <w:pStyle w:val="Heading1"/>
        <w:rPr>
          <w:rFonts w:ascii="Arial" w:hAnsi="Arial" w:cs="Arial"/>
          <w:sz w:val="22"/>
          <w:szCs w:val="22"/>
        </w:rPr>
      </w:pPr>
      <w:r w:rsidRPr="00FF3125">
        <w:rPr>
          <w:rFonts w:ascii="Arial" w:hAnsi="Arial" w:cs="Arial"/>
          <w:sz w:val="22"/>
          <w:szCs w:val="22"/>
        </w:rPr>
        <w:t>Introduction</w:t>
      </w:r>
    </w:p>
    <w:p w:rsidR="00C2299E" w:rsidRPr="00FF3125" w:rsidRDefault="003E1AFB">
      <w:pPr>
        <w:rPr>
          <w:rFonts w:ascii="Arial" w:hAnsi="Arial" w:cs="Arial"/>
          <w:sz w:val="22"/>
          <w:szCs w:val="22"/>
        </w:rPr>
      </w:pPr>
      <w:r w:rsidRPr="00FF3125">
        <w:rPr>
          <w:rFonts w:ascii="Arial" w:hAnsi="Arial" w:cs="Arial"/>
          <w:sz w:val="22"/>
          <w:szCs w:val="22"/>
        </w:rPr>
        <w:t>The attached</w:t>
      </w:r>
      <w:r w:rsidR="00FB7446" w:rsidRPr="00FF3125">
        <w:rPr>
          <w:rFonts w:ascii="Arial" w:hAnsi="Arial" w:cs="Arial"/>
          <w:sz w:val="22"/>
          <w:szCs w:val="22"/>
        </w:rPr>
        <w:t xml:space="preserve"> budget, </w:t>
      </w:r>
      <w:r w:rsidR="00A74030" w:rsidRPr="00FF3125">
        <w:rPr>
          <w:rFonts w:ascii="Arial" w:hAnsi="Arial" w:cs="Arial"/>
          <w:sz w:val="22"/>
          <w:szCs w:val="22"/>
        </w:rPr>
        <w:t xml:space="preserve">rates </w:t>
      </w:r>
      <w:r w:rsidR="00834C9C" w:rsidRPr="00FF3125">
        <w:rPr>
          <w:rFonts w:ascii="Arial" w:hAnsi="Arial" w:cs="Arial"/>
          <w:sz w:val="22"/>
          <w:szCs w:val="22"/>
        </w:rPr>
        <w:t xml:space="preserve">and supporting documentation </w:t>
      </w:r>
      <w:r w:rsidR="002D5542" w:rsidRPr="00FF3125">
        <w:rPr>
          <w:rFonts w:ascii="Arial" w:hAnsi="Arial" w:cs="Arial"/>
          <w:sz w:val="22"/>
          <w:szCs w:val="22"/>
        </w:rPr>
        <w:t xml:space="preserve">represents the </w:t>
      </w:r>
      <w:r w:rsidR="00716595" w:rsidRPr="00FF3125">
        <w:rPr>
          <w:rFonts w:ascii="Arial" w:hAnsi="Arial" w:cs="Arial"/>
          <w:sz w:val="22"/>
          <w:szCs w:val="22"/>
        </w:rPr>
        <w:t xml:space="preserve">recommendations </w:t>
      </w:r>
      <w:r w:rsidR="0053720B" w:rsidRPr="00FF3125">
        <w:rPr>
          <w:rFonts w:ascii="Arial" w:hAnsi="Arial" w:cs="Arial"/>
          <w:sz w:val="22"/>
          <w:szCs w:val="22"/>
        </w:rPr>
        <w:t xml:space="preserve">for </w:t>
      </w:r>
      <w:r w:rsidR="00E003EC" w:rsidRPr="00FF3125">
        <w:rPr>
          <w:rFonts w:ascii="Arial" w:hAnsi="Arial" w:cs="Arial"/>
          <w:sz w:val="22"/>
          <w:szCs w:val="22"/>
        </w:rPr>
        <w:t xml:space="preserve">fiscal year </w:t>
      </w:r>
      <w:r w:rsidR="00F06255" w:rsidRPr="00FF3125">
        <w:rPr>
          <w:rFonts w:ascii="Arial" w:hAnsi="Arial" w:cs="Arial"/>
          <w:sz w:val="22"/>
          <w:szCs w:val="22"/>
        </w:rPr>
        <w:t>201</w:t>
      </w:r>
      <w:r w:rsidR="00F3340E" w:rsidRPr="00FF3125">
        <w:rPr>
          <w:rFonts w:ascii="Arial" w:hAnsi="Arial" w:cs="Arial"/>
          <w:sz w:val="22"/>
          <w:szCs w:val="22"/>
        </w:rPr>
        <w:t>5</w:t>
      </w:r>
      <w:r w:rsidR="00F06255" w:rsidRPr="00FF3125">
        <w:rPr>
          <w:rFonts w:ascii="Arial" w:hAnsi="Arial" w:cs="Arial"/>
          <w:sz w:val="22"/>
          <w:szCs w:val="22"/>
        </w:rPr>
        <w:t>-1</w:t>
      </w:r>
      <w:r w:rsidR="00F3340E" w:rsidRPr="00FF3125">
        <w:rPr>
          <w:rFonts w:ascii="Arial" w:hAnsi="Arial" w:cs="Arial"/>
          <w:sz w:val="22"/>
          <w:szCs w:val="22"/>
        </w:rPr>
        <w:t>6</w:t>
      </w:r>
      <w:r w:rsidR="000C5650" w:rsidRPr="00FF3125">
        <w:rPr>
          <w:rFonts w:ascii="Arial" w:hAnsi="Arial" w:cs="Arial"/>
          <w:sz w:val="22"/>
          <w:szCs w:val="22"/>
        </w:rPr>
        <w:t xml:space="preserve">.  </w:t>
      </w:r>
      <w:r w:rsidR="00C2299E" w:rsidRPr="00FF3125">
        <w:rPr>
          <w:rFonts w:ascii="Arial" w:hAnsi="Arial" w:cs="Arial"/>
          <w:sz w:val="22"/>
          <w:szCs w:val="22"/>
        </w:rPr>
        <w:t>Draft materials were presented</w:t>
      </w:r>
      <w:r w:rsidR="005464C3" w:rsidRPr="00FF3125">
        <w:rPr>
          <w:rFonts w:ascii="Arial" w:hAnsi="Arial" w:cs="Arial"/>
          <w:sz w:val="22"/>
          <w:szCs w:val="22"/>
        </w:rPr>
        <w:t xml:space="preserve"> to </w:t>
      </w:r>
      <w:r w:rsidR="00C2299E" w:rsidRPr="00FF3125">
        <w:rPr>
          <w:rFonts w:ascii="Arial" w:hAnsi="Arial" w:cs="Arial"/>
          <w:sz w:val="22"/>
          <w:szCs w:val="22"/>
        </w:rPr>
        <w:t xml:space="preserve">the Residence Hall Association and </w:t>
      </w:r>
      <w:r w:rsidR="00C2299E" w:rsidRPr="00FF3125">
        <w:rPr>
          <w:rFonts w:ascii="Arial" w:hAnsi="Arial" w:cs="Arial"/>
          <w:sz w:val="22"/>
          <w:szCs w:val="22"/>
        </w:rPr>
        <w:lastRenderedPageBreak/>
        <w:t>Associated Students’ Board of Directors.  Subsequent minor edits have corrected fig</w:t>
      </w:r>
      <w:r w:rsidR="005464C3" w:rsidRPr="00FF3125">
        <w:rPr>
          <w:rFonts w:ascii="Arial" w:hAnsi="Arial" w:cs="Arial"/>
          <w:sz w:val="22"/>
          <w:szCs w:val="22"/>
        </w:rPr>
        <w:t>ures in one table and added some</w:t>
      </w:r>
      <w:r w:rsidR="00C2299E" w:rsidRPr="00FF3125">
        <w:rPr>
          <w:rFonts w:ascii="Arial" w:hAnsi="Arial" w:cs="Arial"/>
          <w:sz w:val="22"/>
          <w:szCs w:val="22"/>
        </w:rPr>
        <w:t xml:space="preserve"> explanatory text.</w:t>
      </w:r>
    </w:p>
    <w:p w:rsidR="00C2299E" w:rsidRPr="00FF3125" w:rsidRDefault="00C2299E">
      <w:pPr>
        <w:rPr>
          <w:rFonts w:ascii="Arial" w:hAnsi="Arial" w:cs="Arial"/>
          <w:sz w:val="16"/>
          <w:szCs w:val="16"/>
        </w:rPr>
      </w:pPr>
    </w:p>
    <w:p w:rsidR="00C2299E" w:rsidRPr="00FF3125" w:rsidRDefault="00C2299E">
      <w:pPr>
        <w:rPr>
          <w:rFonts w:ascii="Arial" w:hAnsi="Arial" w:cs="Arial"/>
          <w:sz w:val="22"/>
          <w:szCs w:val="22"/>
          <w:u w:val="single"/>
        </w:rPr>
      </w:pPr>
      <w:r w:rsidRPr="00FF3125">
        <w:rPr>
          <w:rFonts w:ascii="Arial" w:hAnsi="Arial" w:cs="Arial"/>
          <w:sz w:val="22"/>
          <w:szCs w:val="22"/>
          <w:u w:val="single"/>
        </w:rPr>
        <w:t>Summary</w:t>
      </w:r>
    </w:p>
    <w:p w:rsidR="00A848E0" w:rsidRPr="00FF3125" w:rsidRDefault="0025407F">
      <w:pPr>
        <w:rPr>
          <w:rFonts w:ascii="Arial" w:eastAsia="Calibri" w:hAnsi="Arial" w:cs="Arial"/>
          <w:sz w:val="22"/>
          <w:szCs w:val="22"/>
        </w:rPr>
      </w:pPr>
      <w:r w:rsidRPr="00FF3125">
        <w:rPr>
          <w:rFonts w:ascii="Arial" w:hAnsi="Arial" w:cs="Arial"/>
          <w:sz w:val="22"/>
          <w:szCs w:val="22"/>
        </w:rPr>
        <w:t xml:space="preserve">The department’s leadership </w:t>
      </w:r>
      <w:r w:rsidR="00716595" w:rsidRPr="00FF3125">
        <w:rPr>
          <w:rFonts w:ascii="Arial" w:hAnsi="Arial" w:cs="Arial"/>
          <w:sz w:val="22"/>
          <w:szCs w:val="22"/>
        </w:rPr>
        <w:t xml:space="preserve">has </w:t>
      </w:r>
      <w:r w:rsidR="00743450" w:rsidRPr="00FF3125">
        <w:rPr>
          <w:rFonts w:ascii="Arial" w:hAnsi="Arial" w:cs="Arial"/>
          <w:sz w:val="22"/>
          <w:szCs w:val="22"/>
        </w:rPr>
        <w:t xml:space="preserve">made every effort </w:t>
      </w:r>
      <w:r w:rsidR="00716595" w:rsidRPr="00FF3125">
        <w:rPr>
          <w:rFonts w:ascii="Arial" w:hAnsi="Arial" w:cs="Arial"/>
          <w:sz w:val="22"/>
          <w:szCs w:val="22"/>
        </w:rPr>
        <w:t>to account</w:t>
      </w:r>
      <w:r w:rsidRPr="00FF3125">
        <w:rPr>
          <w:rFonts w:ascii="Arial" w:hAnsi="Arial" w:cs="Arial"/>
          <w:sz w:val="22"/>
          <w:szCs w:val="22"/>
        </w:rPr>
        <w:t xml:space="preserve"> for the potential impact on the System</w:t>
      </w:r>
      <w:r w:rsidR="00716595" w:rsidRPr="00FF3125">
        <w:rPr>
          <w:rFonts w:ascii="Arial" w:hAnsi="Arial" w:cs="Arial"/>
          <w:sz w:val="22"/>
          <w:szCs w:val="22"/>
        </w:rPr>
        <w:t>,</w:t>
      </w:r>
      <w:r w:rsidRPr="00FF3125">
        <w:rPr>
          <w:rFonts w:ascii="Arial" w:hAnsi="Arial" w:cs="Arial"/>
          <w:sz w:val="22"/>
          <w:szCs w:val="22"/>
        </w:rPr>
        <w:t xml:space="preserve"> and t</w:t>
      </w:r>
      <w:r w:rsidR="007F5822" w:rsidRPr="00FF3125">
        <w:rPr>
          <w:rFonts w:ascii="Arial" w:eastAsia="Calibri" w:hAnsi="Arial" w:cs="Arial"/>
          <w:sz w:val="22"/>
          <w:szCs w:val="22"/>
        </w:rPr>
        <w:t>he proposed rate</w:t>
      </w:r>
      <w:r w:rsidRPr="00FF3125">
        <w:rPr>
          <w:rFonts w:ascii="Arial" w:eastAsia="Calibri" w:hAnsi="Arial" w:cs="Arial"/>
          <w:sz w:val="22"/>
          <w:szCs w:val="22"/>
        </w:rPr>
        <w:t xml:space="preserve"> increase has been thoughtfully considered relative to the total cost for students to attend Western.  </w:t>
      </w:r>
      <w:r w:rsidR="00340407" w:rsidRPr="00FF3125">
        <w:rPr>
          <w:rFonts w:ascii="Arial" w:hAnsi="Arial" w:cs="Arial"/>
          <w:sz w:val="22"/>
          <w:szCs w:val="22"/>
        </w:rPr>
        <w:t xml:space="preserve">Each operating line item </w:t>
      </w:r>
      <w:r w:rsidR="007E420E" w:rsidRPr="00FF3125">
        <w:rPr>
          <w:rFonts w:ascii="Arial" w:hAnsi="Arial" w:cs="Arial"/>
          <w:sz w:val="22"/>
          <w:szCs w:val="22"/>
        </w:rPr>
        <w:t xml:space="preserve">in the budget </w:t>
      </w:r>
      <w:r w:rsidR="00340407" w:rsidRPr="00FF3125">
        <w:rPr>
          <w:rFonts w:ascii="Arial" w:hAnsi="Arial" w:cs="Arial"/>
          <w:sz w:val="22"/>
          <w:szCs w:val="22"/>
        </w:rPr>
        <w:t xml:space="preserve">has been reviewed to ensure that revenue opportunities are </w:t>
      </w:r>
      <w:r w:rsidR="00A711D6" w:rsidRPr="00FF3125">
        <w:rPr>
          <w:rFonts w:ascii="Arial" w:hAnsi="Arial" w:cs="Arial"/>
          <w:sz w:val="22"/>
          <w:szCs w:val="22"/>
        </w:rPr>
        <w:t xml:space="preserve">examined </w:t>
      </w:r>
      <w:r w:rsidR="00340407" w:rsidRPr="00FF3125">
        <w:rPr>
          <w:rFonts w:ascii="Arial" w:hAnsi="Arial" w:cs="Arial"/>
          <w:sz w:val="22"/>
          <w:szCs w:val="22"/>
        </w:rPr>
        <w:t>and costs are managed carefully.</w:t>
      </w:r>
      <w:r w:rsidR="00C93BDA" w:rsidRPr="00FF3125">
        <w:rPr>
          <w:rFonts w:ascii="Arial" w:hAnsi="Arial" w:cs="Arial"/>
          <w:sz w:val="22"/>
          <w:szCs w:val="22"/>
        </w:rPr>
        <w:t xml:space="preserve"> </w:t>
      </w:r>
      <w:r w:rsidR="00E2697A" w:rsidRPr="00FF3125">
        <w:rPr>
          <w:rFonts w:ascii="Arial" w:hAnsi="Arial" w:cs="Arial"/>
          <w:sz w:val="22"/>
          <w:szCs w:val="22"/>
        </w:rPr>
        <w:t>T</w:t>
      </w:r>
      <w:r w:rsidR="00716595" w:rsidRPr="00FF3125">
        <w:rPr>
          <w:rFonts w:ascii="Arial" w:hAnsi="Arial" w:cs="Arial"/>
          <w:sz w:val="22"/>
          <w:szCs w:val="22"/>
        </w:rPr>
        <w:t>his</w:t>
      </w:r>
      <w:r w:rsidR="00E2697A" w:rsidRPr="00FF3125">
        <w:rPr>
          <w:rFonts w:ascii="Arial" w:hAnsi="Arial" w:cs="Arial"/>
          <w:sz w:val="22"/>
          <w:szCs w:val="22"/>
        </w:rPr>
        <w:t xml:space="preserve"> budget and rate proposal </w:t>
      </w:r>
      <w:r w:rsidR="001A026D" w:rsidRPr="00FF3125">
        <w:rPr>
          <w:rFonts w:ascii="Arial" w:hAnsi="Arial" w:cs="Arial"/>
          <w:sz w:val="22"/>
          <w:szCs w:val="22"/>
        </w:rPr>
        <w:t xml:space="preserve">responsibly </w:t>
      </w:r>
      <w:r w:rsidR="00340407" w:rsidRPr="00FF3125">
        <w:rPr>
          <w:rFonts w:ascii="Arial" w:hAnsi="Arial" w:cs="Arial"/>
          <w:sz w:val="22"/>
          <w:szCs w:val="22"/>
        </w:rPr>
        <w:t>responds to inflationary pressures</w:t>
      </w:r>
      <w:r w:rsidR="000C5650" w:rsidRPr="00FF3125">
        <w:rPr>
          <w:rFonts w:ascii="Arial" w:hAnsi="Arial" w:cs="Arial"/>
          <w:sz w:val="22"/>
          <w:szCs w:val="22"/>
        </w:rPr>
        <w:t xml:space="preserve">, </w:t>
      </w:r>
      <w:r w:rsidR="00E2697A" w:rsidRPr="00FF3125">
        <w:rPr>
          <w:rFonts w:ascii="Arial" w:hAnsi="Arial" w:cs="Arial"/>
          <w:sz w:val="22"/>
          <w:szCs w:val="22"/>
        </w:rPr>
        <w:t xml:space="preserve">maintains </w:t>
      </w:r>
      <w:r w:rsidR="00340407" w:rsidRPr="00FF3125">
        <w:rPr>
          <w:rFonts w:ascii="Arial" w:hAnsi="Arial" w:cs="Arial"/>
          <w:sz w:val="22"/>
          <w:szCs w:val="22"/>
        </w:rPr>
        <w:t xml:space="preserve">the </w:t>
      </w:r>
      <w:r w:rsidR="00716595" w:rsidRPr="00FF3125">
        <w:rPr>
          <w:rFonts w:ascii="Arial" w:hAnsi="Arial" w:cs="Arial"/>
          <w:sz w:val="22"/>
          <w:szCs w:val="22"/>
        </w:rPr>
        <w:t>core functions of Western’s</w:t>
      </w:r>
      <w:r w:rsidR="00E2697A" w:rsidRPr="00FF3125">
        <w:rPr>
          <w:rFonts w:ascii="Arial" w:hAnsi="Arial" w:cs="Arial"/>
          <w:sz w:val="22"/>
          <w:szCs w:val="22"/>
        </w:rPr>
        <w:t xml:space="preserve"> </w:t>
      </w:r>
      <w:r w:rsidR="00A711D6" w:rsidRPr="00FF3125">
        <w:rPr>
          <w:rFonts w:ascii="Arial" w:hAnsi="Arial" w:cs="Arial"/>
          <w:sz w:val="22"/>
          <w:szCs w:val="22"/>
        </w:rPr>
        <w:t xml:space="preserve">quality </w:t>
      </w:r>
      <w:r w:rsidR="000C5650" w:rsidRPr="00FF3125">
        <w:rPr>
          <w:rFonts w:ascii="Arial" w:hAnsi="Arial" w:cs="Arial"/>
          <w:sz w:val="22"/>
          <w:szCs w:val="22"/>
        </w:rPr>
        <w:t>residential program, and adds some components to increase student satisfaction and success</w:t>
      </w:r>
      <w:r w:rsidR="00716595" w:rsidRPr="00FF3125">
        <w:rPr>
          <w:rFonts w:ascii="Arial" w:hAnsi="Arial" w:cs="Arial"/>
          <w:sz w:val="22"/>
          <w:szCs w:val="22"/>
        </w:rPr>
        <w:t>.</w:t>
      </w:r>
      <w:r w:rsidR="0053720B" w:rsidRPr="00FF3125">
        <w:rPr>
          <w:rFonts w:ascii="Arial" w:hAnsi="Arial" w:cs="Arial"/>
          <w:sz w:val="22"/>
          <w:szCs w:val="22"/>
        </w:rPr>
        <w:t xml:space="preserve">  </w:t>
      </w:r>
      <w:r w:rsidR="007F059E" w:rsidRPr="00FF3125">
        <w:rPr>
          <w:rFonts w:ascii="Arial" w:hAnsi="Arial" w:cs="Arial"/>
          <w:sz w:val="22"/>
          <w:szCs w:val="22"/>
        </w:rPr>
        <w:t>As with every year, a major influence for planning c</w:t>
      </w:r>
      <w:r w:rsidR="00E003EC" w:rsidRPr="00FF3125">
        <w:rPr>
          <w:rFonts w:ascii="Arial" w:hAnsi="Arial" w:cs="Arial"/>
          <w:sz w:val="22"/>
          <w:szCs w:val="22"/>
        </w:rPr>
        <w:t>a</w:t>
      </w:r>
      <w:r w:rsidR="007F059E" w:rsidRPr="00FF3125">
        <w:rPr>
          <w:rFonts w:ascii="Arial" w:hAnsi="Arial" w:cs="Arial"/>
          <w:sz w:val="22"/>
          <w:szCs w:val="22"/>
        </w:rPr>
        <w:t xml:space="preserve">me from the University’s Strategic Plan </w:t>
      </w:r>
      <w:r w:rsidR="00FB7446" w:rsidRPr="00FF3125">
        <w:rPr>
          <w:rFonts w:ascii="Arial" w:hAnsi="Arial" w:cs="Arial"/>
          <w:sz w:val="22"/>
          <w:szCs w:val="22"/>
        </w:rPr>
        <w:t xml:space="preserve">along with the </w:t>
      </w:r>
      <w:r w:rsidR="007F059E" w:rsidRPr="00FF3125">
        <w:rPr>
          <w:rFonts w:ascii="Arial" w:hAnsi="Arial" w:cs="Arial"/>
          <w:sz w:val="22"/>
          <w:szCs w:val="22"/>
        </w:rPr>
        <w:t xml:space="preserve">standards and expectations outlined in the Principles for the Housing &amp; Dining System. </w:t>
      </w:r>
      <w:r w:rsidR="00DE462E" w:rsidRPr="00FF3125">
        <w:rPr>
          <w:rFonts w:ascii="Arial" w:hAnsi="Arial" w:cs="Arial"/>
          <w:sz w:val="22"/>
          <w:szCs w:val="22"/>
        </w:rPr>
        <w:t>This</w:t>
      </w:r>
      <w:r w:rsidR="003E1AFB" w:rsidRPr="00FF3125">
        <w:rPr>
          <w:rFonts w:ascii="Arial" w:hAnsi="Arial" w:cs="Arial"/>
          <w:sz w:val="22"/>
          <w:szCs w:val="22"/>
        </w:rPr>
        <w:t xml:space="preserve"> recommended</w:t>
      </w:r>
      <w:r w:rsidR="00A848E0" w:rsidRPr="00FF3125">
        <w:rPr>
          <w:rFonts w:ascii="Arial" w:hAnsi="Arial" w:cs="Arial"/>
          <w:sz w:val="22"/>
          <w:szCs w:val="22"/>
        </w:rPr>
        <w:t xml:space="preserve"> budget meets those standards and ensures that management attends to </w:t>
      </w:r>
      <w:r w:rsidR="00D6283B" w:rsidRPr="00FF3125">
        <w:rPr>
          <w:rFonts w:ascii="Arial" w:hAnsi="Arial" w:cs="Arial"/>
          <w:sz w:val="22"/>
          <w:szCs w:val="22"/>
        </w:rPr>
        <w:t xml:space="preserve">the necessary </w:t>
      </w:r>
      <w:r w:rsidR="00A848E0" w:rsidRPr="00FF3125">
        <w:rPr>
          <w:rFonts w:ascii="Arial" w:hAnsi="Arial" w:cs="Arial"/>
          <w:sz w:val="22"/>
          <w:szCs w:val="22"/>
        </w:rPr>
        <w:t xml:space="preserve">reserve </w:t>
      </w:r>
      <w:r w:rsidR="002D5542" w:rsidRPr="00FF3125">
        <w:rPr>
          <w:rFonts w:ascii="Arial" w:hAnsi="Arial" w:cs="Arial"/>
          <w:sz w:val="22"/>
          <w:szCs w:val="22"/>
        </w:rPr>
        <w:t xml:space="preserve">fund </w:t>
      </w:r>
      <w:r w:rsidR="00A848E0" w:rsidRPr="00FF3125">
        <w:rPr>
          <w:rFonts w:ascii="Arial" w:hAnsi="Arial" w:cs="Arial"/>
          <w:sz w:val="22"/>
          <w:szCs w:val="22"/>
        </w:rPr>
        <w:t xml:space="preserve">balances, planned major maintenance, debt service coverage, and capital planning.  </w:t>
      </w:r>
      <w:r w:rsidR="002D5542" w:rsidRPr="00FF3125">
        <w:rPr>
          <w:rFonts w:ascii="Arial" w:hAnsi="Arial" w:cs="Arial"/>
          <w:sz w:val="22"/>
          <w:szCs w:val="22"/>
        </w:rPr>
        <w:t>The figures and</w:t>
      </w:r>
      <w:r w:rsidR="00A848E0" w:rsidRPr="00FF3125">
        <w:rPr>
          <w:rFonts w:ascii="Arial" w:hAnsi="Arial" w:cs="Arial"/>
          <w:sz w:val="22"/>
          <w:szCs w:val="22"/>
        </w:rPr>
        <w:t xml:space="preserve"> explanatory text </w:t>
      </w:r>
      <w:r w:rsidR="00FC40D0" w:rsidRPr="00FF3125">
        <w:rPr>
          <w:rFonts w:ascii="Arial" w:hAnsi="Arial" w:cs="Arial"/>
          <w:sz w:val="22"/>
          <w:szCs w:val="22"/>
        </w:rPr>
        <w:t xml:space="preserve">reflect student input from surveys and committees as well as the most recent </w:t>
      </w:r>
      <w:r w:rsidR="006B1C4A" w:rsidRPr="00FF3125">
        <w:rPr>
          <w:rFonts w:ascii="Arial" w:hAnsi="Arial" w:cs="Arial"/>
          <w:sz w:val="22"/>
          <w:szCs w:val="22"/>
        </w:rPr>
        <w:t>projections for</w:t>
      </w:r>
      <w:r w:rsidR="002D5542" w:rsidRPr="00FF3125">
        <w:rPr>
          <w:rFonts w:ascii="Arial" w:hAnsi="Arial" w:cs="Arial"/>
          <w:sz w:val="22"/>
          <w:szCs w:val="22"/>
        </w:rPr>
        <w:t xml:space="preserve"> r</w:t>
      </w:r>
      <w:r w:rsidR="00A848E0" w:rsidRPr="00FF3125">
        <w:rPr>
          <w:rFonts w:ascii="Arial" w:hAnsi="Arial" w:cs="Arial"/>
          <w:sz w:val="22"/>
          <w:szCs w:val="22"/>
        </w:rPr>
        <w:t>eve</w:t>
      </w:r>
      <w:r w:rsidR="002D5542" w:rsidRPr="00FF3125">
        <w:rPr>
          <w:rFonts w:ascii="Arial" w:hAnsi="Arial" w:cs="Arial"/>
          <w:sz w:val="22"/>
          <w:szCs w:val="22"/>
        </w:rPr>
        <w:t>nue and expenditures.</w:t>
      </w:r>
      <w:r w:rsidR="00E83614" w:rsidRPr="00FF3125">
        <w:rPr>
          <w:rFonts w:ascii="Arial" w:hAnsi="Arial" w:cs="Arial"/>
          <w:sz w:val="22"/>
          <w:szCs w:val="22"/>
        </w:rPr>
        <w:t xml:space="preserve">  </w:t>
      </w:r>
    </w:p>
    <w:p w:rsidR="00A848E0" w:rsidRPr="00FF3125" w:rsidRDefault="00A848E0">
      <w:pPr>
        <w:rPr>
          <w:rFonts w:ascii="Arial" w:hAnsi="Arial" w:cs="Arial"/>
          <w:sz w:val="16"/>
          <w:szCs w:val="16"/>
        </w:rPr>
      </w:pPr>
    </w:p>
    <w:p w:rsidR="00A848E0" w:rsidRPr="00FF3125" w:rsidRDefault="00A848E0">
      <w:pPr>
        <w:rPr>
          <w:rFonts w:ascii="Arial" w:hAnsi="Arial" w:cs="Arial"/>
          <w:sz w:val="22"/>
          <w:szCs w:val="22"/>
        </w:rPr>
      </w:pPr>
      <w:r w:rsidRPr="00FF3125">
        <w:rPr>
          <w:rFonts w:ascii="Arial" w:hAnsi="Arial" w:cs="Arial"/>
          <w:sz w:val="22"/>
          <w:szCs w:val="22"/>
          <w:u w:val="single"/>
        </w:rPr>
        <w:t>The Capital Plan</w:t>
      </w:r>
    </w:p>
    <w:p w:rsidR="00A848E0" w:rsidRPr="00FF3125" w:rsidRDefault="002D5542">
      <w:pPr>
        <w:rPr>
          <w:rFonts w:ascii="Arial" w:hAnsi="Arial" w:cs="Arial"/>
          <w:sz w:val="22"/>
          <w:szCs w:val="22"/>
        </w:rPr>
      </w:pPr>
      <w:r w:rsidRPr="00FF3125">
        <w:rPr>
          <w:rFonts w:ascii="Arial" w:hAnsi="Arial" w:cs="Arial"/>
          <w:sz w:val="22"/>
          <w:szCs w:val="22"/>
        </w:rPr>
        <w:t xml:space="preserve">The </w:t>
      </w:r>
      <w:r w:rsidR="007030AC" w:rsidRPr="00FF3125">
        <w:rPr>
          <w:rFonts w:ascii="Arial" w:hAnsi="Arial" w:cs="Arial"/>
          <w:sz w:val="22"/>
          <w:szCs w:val="22"/>
        </w:rPr>
        <w:t>Enrollment and Student Services</w:t>
      </w:r>
      <w:r w:rsidRPr="00FF3125">
        <w:rPr>
          <w:rFonts w:ascii="Arial" w:hAnsi="Arial" w:cs="Arial"/>
          <w:sz w:val="22"/>
          <w:szCs w:val="22"/>
        </w:rPr>
        <w:t xml:space="preserve"> </w:t>
      </w:r>
      <w:r w:rsidR="007A74DC" w:rsidRPr="00FF3125">
        <w:rPr>
          <w:rFonts w:ascii="Arial" w:hAnsi="Arial" w:cs="Arial"/>
          <w:sz w:val="22"/>
          <w:szCs w:val="22"/>
        </w:rPr>
        <w:t>Housing &amp; Dining</w:t>
      </w:r>
      <w:r w:rsidR="00A848E0" w:rsidRPr="00FF3125">
        <w:rPr>
          <w:rFonts w:ascii="Arial" w:hAnsi="Arial" w:cs="Arial"/>
          <w:sz w:val="22"/>
          <w:szCs w:val="22"/>
        </w:rPr>
        <w:t xml:space="preserve"> Capital Plan </w:t>
      </w:r>
      <w:r w:rsidR="00716595" w:rsidRPr="00FF3125">
        <w:rPr>
          <w:rFonts w:ascii="Arial" w:hAnsi="Arial" w:cs="Arial"/>
          <w:sz w:val="22"/>
          <w:szCs w:val="22"/>
        </w:rPr>
        <w:t xml:space="preserve">addresses </w:t>
      </w:r>
      <w:r w:rsidR="005430FA" w:rsidRPr="00FF3125">
        <w:rPr>
          <w:rFonts w:ascii="Arial" w:hAnsi="Arial" w:cs="Arial"/>
          <w:sz w:val="22"/>
          <w:szCs w:val="22"/>
        </w:rPr>
        <w:t>the long term financial</w:t>
      </w:r>
      <w:r w:rsidR="00716595" w:rsidRPr="00FF3125">
        <w:rPr>
          <w:rFonts w:ascii="Arial" w:hAnsi="Arial" w:cs="Arial"/>
          <w:sz w:val="22"/>
          <w:szCs w:val="22"/>
        </w:rPr>
        <w:t xml:space="preserve"> strength</w:t>
      </w:r>
      <w:r w:rsidR="005430FA" w:rsidRPr="00FF3125">
        <w:rPr>
          <w:rFonts w:ascii="Arial" w:hAnsi="Arial" w:cs="Arial"/>
          <w:sz w:val="22"/>
          <w:szCs w:val="22"/>
        </w:rPr>
        <w:t xml:space="preserve"> of the System and ensure</w:t>
      </w:r>
      <w:r w:rsidR="00716595" w:rsidRPr="00FF3125">
        <w:rPr>
          <w:rFonts w:ascii="Arial" w:hAnsi="Arial" w:cs="Arial"/>
          <w:sz w:val="22"/>
          <w:szCs w:val="22"/>
        </w:rPr>
        <w:t>s</w:t>
      </w:r>
      <w:r w:rsidR="005430FA" w:rsidRPr="00FF3125">
        <w:rPr>
          <w:rFonts w:ascii="Arial" w:hAnsi="Arial" w:cs="Arial"/>
          <w:sz w:val="22"/>
          <w:szCs w:val="22"/>
        </w:rPr>
        <w:t xml:space="preserve"> </w:t>
      </w:r>
      <w:r w:rsidRPr="00FF3125">
        <w:rPr>
          <w:rFonts w:ascii="Arial" w:hAnsi="Arial" w:cs="Arial"/>
          <w:sz w:val="22"/>
          <w:szCs w:val="22"/>
        </w:rPr>
        <w:t xml:space="preserve">that the </w:t>
      </w:r>
      <w:r w:rsidR="007A74DC" w:rsidRPr="00FF3125">
        <w:rPr>
          <w:rFonts w:ascii="Arial" w:hAnsi="Arial" w:cs="Arial"/>
          <w:sz w:val="22"/>
          <w:szCs w:val="22"/>
        </w:rPr>
        <w:t xml:space="preserve">System’s </w:t>
      </w:r>
      <w:r w:rsidR="00A848E0" w:rsidRPr="00FF3125">
        <w:rPr>
          <w:rFonts w:ascii="Arial" w:hAnsi="Arial" w:cs="Arial"/>
          <w:sz w:val="22"/>
          <w:szCs w:val="22"/>
        </w:rPr>
        <w:t xml:space="preserve">facilities meet </w:t>
      </w:r>
      <w:r w:rsidR="006E49B7" w:rsidRPr="00FF3125">
        <w:rPr>
          <w:rFonts w:ascii="Arial" w:hAnsi="Arial" w:cs="Arial"/>
          <w:sz w:val="22"/>
          <w:szCs w:val="22"/>
        </w:rPr>
        <w:t>Western’s enrollment plan, meet or exceed the Board</w:t>
      </w:r>
      <w:r w:rsidR="00514B82" w:rsidRPr="00FF3125">
        <w:rPr>
          <w:rFonts w:ascii="Arial" w:hAnsi="Arial" w:cs="Arial"/>
          <w:sz w:val="22"/>
          <w:szCs w:val="22"/>
        </w:rPr>
        <w:t xml:space="preserve"> of Trustees fiscal principles, </w:t>
      </w:r>
      <w:r w:rsidR="006E49B7" w:rsidRPr="00FF3125">
        <w:rPr>
          <w:rFonts w:ascii="Arial" w:hAnsi="Arial" w:cs="Arial"/>
          <w:sz w:val="22"/>
          <w:szCs w:val="22"/>
        </w:rPr>
        <w:t>invests in infrastructure to ensure longevity, health and safety, and responds to changing student needs and expectations.</w:t>
      </w:r>
      <w:r w:rsidR="005430FA" w:rsidRPr="00FF3125">
        <w:rPr>
          <w:rFonts w:ascii="Arial" w:hAnsi="Arial" w:cs="Arial"/>
          <w:sz w:val="22"/>
          <w:szCs w:val="22"/>
        </w:rPr>
        <w:t xml:space="preserve"> Projects planned for f</w:t>
      </w:r>
      <w:r w:rsidR="00F06255" w:rsidRPr="00FF3125">
        <w:rPr>
          <w:rFonts w:ascii="Arial" w:hAnsi="Arial" w:cs="Arial"/>
          <w:sz w:val="22"/>
          <w:szCs w:val="22"/>
        </w:rPr>
        <w:t xml:space="preserve">iscal </w:t>
      </w:r>
      <w:r w:rsidR="005430FA" w:rsidRPr="00FF3125">
        <w:rPr>
          <w:rFonts w:ascii="Arial" w:hAnsi="Arial" w:cs="Arial"/>
          <w:sz w:val="22"/>
          <w:szCs w:val="22"/>
        </w:rPr>
        <w:t>y</w:t>
      </w:r>
      <w:r w:rsidR="00F06255" w:rsidRPr="00FF3125">
        <w:rPr>
          <w:rFonts w:ascii="Arial" w:hAnsi="Arial" w:cs="Arial"/>
          <w:sz w:val="22"/>
          <w:szCs w:val="22"/>
        </w:rPr>
        <w:t>ear 201</w:t>
      </w:r>
      <w:r w:rsidR="00111F41" w:rsidRPr="00FF3125">
        <w:rPr>
          <w:rFonts w:ascii="Arial" w:hAnsi="Arial" w:cs="Arial"/>
          <w:sz w:val="22"/>
          <w:szCs w:val="22"/>
        </w:rPr>
        <w:t>6</w:t>
      </w:r>
      <w:r w:rsidR="0025373F" w:rsidRPr="00FF3125">
        <w:rPr>
          <w:rFonts w:ascii="Arial" w:hAnsi="Arial" w:cs="Arial"/>
          <w:sz w:val="22"/>
          <w:szCs w:val="22"/>
        </w:rPr>
        <w:t xml:space="preserve"> </w:t>
      </w:r>
      <w:r w:rsidR="005430FA" w:rsidRPr="00FF3125">
        <w:rPr>
          <w:rFonts w:ascii="Arial" w:hAnsi="Arial" w:cs="Arial"/>
          <w:sz w:val="22"/>
          <w:szCs w:val="22"/>
        </w:rPr>
        <w:t xml:space="preserve">include the </w:t>
      </w:r>
      <w:r w:rsidR="00111F41" w:rsidRPr="00FF3125">
        <w:rPr>
          <w:rFonts w:ascii="Arial" w:hAnsi="Arial" w:cs="Arial"/>
          <w:sz w:val="22"/>
          <w:szCs w:val="22"/>
        </w:rPr>
        <w:t xml:space="preserve">completion </w:t>
      </w:r>
      <w:r w:rsidR="00750F7E" w:rsidRPr="00FF3125">
        <w:rPr>
          <w:rFonts w:ascii="Arial" w:hAnsi="Arial" w:cs="Arial"/>
          <w:sz w:val="22"/>
          <w:szCs w:val="22"/>
        </w:rPr>
        <w:t xml:space="preserve">of the two-phase Nash </w:t>
      </w:r>
      <w:r w:rsidR="005430FA" w:rsidRPr="00FF3125">
        <w:rPr>
          <w:rFonts w:ascii="Arial" w:hAnsi="Arial" w:cs="Arial"/>
          <w:sz w:val="22"/>
          <w:szCs w:val="22"/>
        </w:rPr>
        <w:t xml:space="preserve">fire sprinkler </w:t>
      </w:r>
      <w:r w:rsidR="00750F7E" w:rsidRPr="00FF3125">
        <w:rPr>
          <w:rFonts w:ascii="Arial" w:hAnsi="Arial" w:cs="Arial"/>
          <w:sz w:val="22"/>
          <w:szCs w:val="22"/>
        </w:rPr>
        <w:t xml:space="preserve">and seismic </w:t>
      </w:r>
      <w:r w:rsidR="005430FA" w:rsidRPr="00FF3125">
        <w:rPr>
          <w:rFonts w:ascii="Arial" w:hAnsi="Arial" w:cs="Arial"/>
          <w:sz w:val="22"/>
          <w:szCs w:val="22"/>
        </w:rPr>
        <w:t xml:space="preserve">project, </w:t>
      </w:r>
      <w:r w:rsidR="00750F7E" w:rsidRPr="00FF3125">
        <w:rPr>
          <w:rFonts w:ascii="Arial" w:hAnsi="Arial" w:cs="Arial"/>
          <w:sz w:val="22"/>
          <w:szCs w:val="22"/>
        </w:rPr>
        <w:t>and the Kappa fire spr</w:t>
      </w:r>
      <w:r w:rsidR="003248FD" w:rsidRPr="00FF3125">
        <w:rPr>
          <w:rFonts w:ascii="Arial" w:hAnsi="Arial" w:cs="Arial"/>
          <w:sz w:val="22"/>
          <w:szCs w:val="22"/>
        </w:rPr>
        <w:t>inkler</w:t>
      </w:r>
      <w:r w:rsidR="00111F41" w:rsidRPr="00FF3125">
        <w:rPr>
          <w:rFonts w:ascii="Arial" w:hAnsi="Arial" w:cs="Arial"/>
          <w:sz w:val="22"/>
          <w:szCs w:val="22"/>
        </w:rPr>
        <w:t xml:space="preserve"> and renovation</w:t>
      </w:r>
      <w:r w:rsidR="003248FD" w:rsidRPr="00FF3125">
        <w:rPr>
          <w:rFonts w:ascii="Arial" w:hAnsi="Arial" w:cs="Arial"/>
          <w:sz w:val="22"/>
          <w:szCs w:val="22"/>
        </w:rPr>
        <w:t xml:space="preserve"> project.  </w:t>
      </w:r>
      <w:r w:rsidR="00FD388F" w:rsidRPr="00FF3125">
        <w:rPr>
          <w:rFonts w:ascii="Arial" w:hAnsi="Arial" w:cs="Arial"/>
          <w:sz w:val="22"/>
          <w:szCs w:val="22"/>
        </w:rPr>
        <w:t xml:space="preserve">Capital projects planned </w:t>
      </w:r>
      <w:r w:rsidR="00310A9A" w:rsidRPr="00FF3125">
        <w:rPr>
          <w:rFonts w:ascii="Arial" w:hAnsi="Arial" w:cs="Arial"/>
          <w:sz w:val="22"/>
          <w:szCs w:val="22"/>
        </w:rPr>
        <w:t>over the following</w:t>
      </w:r>
      <w:r w:rsidR="00657DF4" w:rsidRPr="00FF3125">
        <w:rPr>
          <w:rFonts w:ascii="Arial" w:hAnsi="Arial" w:cs="Arial"/>
          <w:sz w:val="22"/>
          <w:szCs w:val="22"/>
        </w:rPr>
        <w:t xml:space="preserve"> 1</w:t>
      </w:r>
      <w:r w:rsidR="00BA6F38" w:rsidRPr="00FF3125">
        <w:rPr>
          <w:rFonts w:ascii="Arial" w:hAnsi="Arial" w:cs="Arial"/>
          <w:sz w:val="22"/>
          <w:szCs w:val="22"/>
        </w:rPr>
        <w:t>0</w:t>
      </w:r>
      <w:r w:rsidR="00657DF4" w:rsidRPr="00FF3125">
        <w:rPr>
          <w:rFonts w:ascii="Arial" w:hAnsi="Arial" w:cs="Arial"/>
          <w:sz w:val="22"/>
          <w:szCs w:val="22"/>
        </w:rPr>
        <w:t xml:space="preserve"> y</w:t>
      </w:r>
      <w:r w:rsidR="002235D8" w:rsidRPr="00FF3125">
        <w:rPr>
          <w:rFonts w:ascii="Arial" w:hAnsi="Arial" w:cs="Arial"/>
          <w:sz w:val="22"/>
          <w:szCs w:val="22"/>
        </w:rPr>
        <w:t>ear</w:t>
      </w:r>
      <w:r w:rsidR="00657DF4" w:rsidRPr="00FF3125">
        <w:rPr>
          <w:rFonts w:ascii="Arial" w:hAnsi="Arial" w:cs="Arial"/>
          <w:sz w:val="22"/>
          <w:szCs w:val="22"/>
        </w:rPr>
        <w:t>s</w:t>
      </w:r>
      <w:r w:rsidR="00750F7E" w:rsidRPr="00FF3125">
        <w:rPr>
          <w:rFonts w:ascii="Arial" w:hAnsi="Arial" w:cs="Arial"/>
          <w:sz w:val="22"/>
          <w:szCs w:val="22"/>
        </w:rPr>
        <w:t xml:space="preserve"> include</w:t>
      </w:r>
      <w:r w:rsidR="00FD388F" w:rsidRPr="00FF3125">
        <w:rPr>
          <w:rFonts w:ascii="Arial" w:hAnsi="Arial" w:cs="Arial"/>
          <w:sz w:val="22"/>
          <w:szCs w:val="22"/>
        </w:rPr>
        <w:t xml:space="preserve"> </w:t>
      </w:r>
      <w:r w:rsidR="00310A9A" w:rsidRPr="00FF3125">
        <w:rPr>
          <w:rFonts w:ascii="Arial" w:hAnsi="Arial" w:cs="Arial"/>
          <w:sz w:val="22"/>
          <w:szCs w:val="22"/>
        </w:rPr>
        <w:t xml:space="preserve">room and bathroom renovations, </w:t>
      </w:r>
      <w:r w:rsidR="00111F41" w:rsidRPr="00FF3125">
        <w:rPr>
          <w:rFonts w:ascii="Arial" w:hAnsi="Arial" w:cs="Arial"/>
          <w:sz w:val="22"/>
          <w:szCs w:val="22"/>
        </w:rPr>
        <w:t xml:space="preserve">building envelope upgrades, </w:t>
      </w:r>
      <w:r w:rsidR="00FD388F" w:rsidRPr="00FF3125">
        <w:rPr>
          <w:rFonts w:ascii="Arial" w:hAnsi="Arial" w:cs="Arial"/>
          <w:sz w:val="22"/>
          <w:szCs w:val="22"/>
        </w:rPr>
        <w:t>upgrades to radiant he</w:t>
      </w:r>
      <w:r w:rsidR="00111F41" w:rsidRPr="00FF3125">
        <w:rPr>
          <w:rFonts w:ascii="Arial" w:hAnsi="Arial" w:cs="Arial"/>
          <w:sz w:val="22"/>
          <w:szCs w:val="22"/>
        </w:rPr>
        <w:t>at systems, and new furnishings</w:t>
      </w:r>
      <w:r w:rsidR="00FD388F" w:rsidRPr="00FF3125">
        <w:rPr>
          <w:rFonts w:ascii="Arial" w:hAnsi="Arial" w:cs="Arial"/>
          <w:sz w:val="22"/>
          <w:szCs w:val="22"/>
        </w:rPr>
        <w:t>.</w:t>
      </w:r>
      <w:r w:rsidR="00C2299E" w:rsidRPr="00FF3125">
        <w:rPr>
          <w:rFonts w:ascii="Arial" w:hAnsi="Arial" w:cs="Arial"/>
          <w:sz w:val="22"/>
          <w:szCs w:val="22"/>
        </w:rPr>
        <w:t xml:space="preserve">  Management continues to evaluate adding additional housing depending on the demand.</w:t>
      </w:r>
    </w:p>
    <w:p w:rsidR="00BA6F38" w:rsidRPr="00FF3125" w:rsidRDefault="00BA6F38">
      <w:pPr>
        <w:rPr>
          <w:rFonts w:ascii="Arial" w:hAnsi="Arial" w:cs="Arial"/>
          <w:sz w:val="16"/>
          <w:szCs w:val="16"/>
          <w:u w:val="single"/>
        </w:rPr>
      </w:pPr>
    </w:p>
    <w:p w:rsidR="00EB0F7D" w:rsidRPr="00FF3125" w:rsidRDefault="00EB0F7D" w:rsidP="00EB0F7D">
      <w:pPr>
        <w:rPr>
          <w:rFonts w:ascii="Arial" w:hAnsi="Arial" w:cs="Arial"/>
          <w:sz w:val="22"/>
          <w:szCs w:val="22"/>
          <w:u w:val="single"/>
        </w:rPr>
      </w:pPr>
      <w:r w:rsidRPr="00FF3125">
        <w:rPr>
          <w:rFonts w:ascii="Arial" w:hAnsi="Arial" w:cs="Arial"/>
          <w:sz w:val="22"/>
          <w:szCs w:val="22"/>
          <w:u w:val="single"/>
        </w:rPr>
        <w:t>Why is a Housing Rate Increase Needed?</w:t>
      </w:r>
    </w:p>
    <w:p w:rsidR="00EB0F7D" w:rsidRPr="00FF3125" w:rsidRDefault="00EB0F7D">
      <w:pPr>
        <w:rPr>
          <w:rFonts w:ascii="Arial" w:hAnsi="Arial" w:cs="Arial"/>
          <w:sz w:val="22"/>
          <w:szCs w:val="22"/>
        </w:rPr>
      </w:pPr>
      <w:r w:rsidRPr="00FF3125">
        <w:rPr>
          <w:rFonts w:ascii="Arial" w:hAnsi="Arial" w:cs="Arial"/>
          <w:sz w:val="22"/>
          <w:szCs w:val="22"/>
        </w:rPr>
        <w:t xml:space="preserve">The proposed rates represent the System’s continued efforts to provide a quality program at an affordable cost.  The attached documents review the impacts of the additional costs to the system, and the results of the responses to those impacts.  </w:t>
      </w:r>
      <w:r w:rsidR="00BB238E" w:rsidRPr="00FF3125">
        <w:rPr>
          <w:rFonts w:ascii="Arial" w:hAnsi="Arial" w:cs="Arial"/>
          <w:sz w:val="22"/>
          <w:szCs w:val="22"/>
        </w:rPr>
        <w:t>T</w:t>
      </w:r>
      <w:r w:rsidRPr="00FF3125">
        <w:rPr>
          <w:rFonts w:ascii="Arial" w:hAnsi="Arial" w:cs="Arial"/>
          <w:sz w:val="22"/>
          <w:szCs w:val="22"/>
        </w:rPr>
        <w:t>he increase addresses external rate pressures such as inflationary and recharge rate increases, and</w:t>
      </w:r>
      <w:r w:rsidR="00BB238E" w:rsidRPr="00FF3125">
        <w:rPr>
          <w:rFonts w:ascii="Arial" w:hAnsi="Arial" w:cs="Arial"/>
          <w:sz w:val="22"/>
          <w:szCs w:val="22"/>
        </w:rPr>
        <w:t xml:space="preserve"> continues</w:t>
      </w:r>
      <w:r w:rsidRPr="00FF3125">
        <w:rPr>
          <w:rFonts w:ascii="Arial" w:hAnsi="Arial" w:cs="Arial"/>
          <w:sz w:val="22"/>
          <w:szCs w:val="22"/>
        </w:rPr>
        <w:t xml:space="preserve"> transfers to the System’s capital plan </w:t>
      </w:r>
      <w:r w:rsidR="00BB238E" w:rsidRPr="00FF3125">
        <w:rPr>
          <w:rFonts w:ascii="Arial" w:hAnsi="Arial" w:cs="Arial"/>
          <w:sz w:val="22"/>
          <w:szCs w:val="22"/>
        </w:rPr>
        <w:t xml:space="preserve">that support the </w:t>
      </w:r>
      <w:r w:rsidRPr="00FF3125">
        <w:rPr>
          <w:rFonts w:ascii="Arial" w:hAnsi="Arial" w:cs="Arial"/>
          <w:sz w:val="22"/>
          <w:szCs w:val="22"/>
        </w:rPr>
        <w:t xml:space="preserve">System’s ongoing investment in renovations.  </w:t>
      </w:r>
      <w:r w:rsidR="00111F41" w:rsidRPr="00FF3125">
        <w:rPr>
          <w:rFonts w:ascii="Arial" w:hAnsi="Arial" w:cs="Arial"/>
          <w:sz w:val="22"/>
          <w:szCs w:val="22"/>
        </w:rPr>
        <w:t xml:space="preserve"> Enhancements for 2016</w:t>
      </w:r>
      <w:r w:rsidRPr="00FF3125">
        <w:rPr>
          <w:rFonts w:ascii="Arial" w:hAnsi="Arial" w:cs="Arial"/>
          <w:sz w:val="22"/>
          <w:szCs w:val="22"/>
        </w:rPr>
        <w:t xml:space="preserve"> inc</w:t>
      </w:r>
      <w:r w:rsidR="00BB238E" w:rsidRPr="00FF3125">
        <w:rPr>
          <w:rFonts w:ascii="Arial" w:hAnsi="Arial" w:cs="Arial"/>
          <w:sz w:val="22"/>
          <w:szCs w:val="22"/>
        </w:rPr>
        <w:t>lude</w:t>
      </w:r>
      <w:r w:rsidR="00111F41" w:rsidRPr="00FF3125">
        <w:rPr>
          <w:rFonts w:ascii="Arial" w:hAnsi="Arial" w:cs="Arial"/>
          <w:sz w:val="22"/>
          <w:szCs w:val="22"/>
        </w:rPr>
        <w:t xml:space="preserve"> the addition of tutoring services in housing </w:t>
      </w:r>
      <w:r w:rsidR="00FB7446" w:rsidRPr="00FF3125">
        <w:rPr>
          <w:rFonts w:ascii="Arial" w:hAnsi="Arial" w:cs="Arial"/>
          <w:sz w:val="22"/>
          <w:szCs w:val="22"/>
        </w:rPr>
        <w:t xml:space="preserve">and </w:t>
      </w:r>
      <w:r w:rsidR="00111F41" w:rsidRPr="00FF3125">
        <w:rPr>
          <w:rFonts w:ascii="Arial" w:hAnsi="Arial" w:cs="Arial"/>
          <w:sz w:val="22"/>
          <w:szCs w:val="22"/>
        </w:rPr>
        <w:t>dining facilities, a</w:t>
      </w:r>
      <w:r w:rsidRPr="00FF3125">
        <w:rPr>
          <w:rFonts w:ascii="Arial" w:hAnsi="Arial" w:cs="Arial"/>
          <w:sz w:val="22"/>
          <w:szCs w:val="22"/>
        </w:rPr>
        <w:t xml:space="preserve">dding </w:t>
      </w:r>
      <w:r w:rsidR="00111F41" w:rsidRPr="00FF3125">
        <w:rPr>
          <w:rFonts w:ascii="Arial" w:hAnsi="Arial" w:cs="Arial"/>
          <w:sz w:val="22"/>
          <w:szCs w:val="22"/>
        </w:rPr>
        <w:t xml:space="preserve">expanded food options and increasing dining hours, </w:t>
      </w:r>
      <w:r w:rsidR="00C22A01" w:rsidRPr="00FF3125">
        <w:rPr>
          <w:rFonts w:ascii="Arial" w:hAnsi="Arial" w:cs="Arial"/>
          <w:sz w:val="22"/>
          <w:szCs w:val="22"/>
        </w:rPr>
        <w:t xml:space="preserve">increased internet bandwidth, </w:t>
      </w:r>
      <w:r w:rsidR="00111F41" w:rsidRPr="00FF3125">
        <w:rPr>
          <w:rFonts w:ascii="Arial" w:hAnsi="Arial" w:cs="Arial"/>
          <w:sz w:val="22"/>
          <w:szCs w:val="22"/>
        </w:rPr>
        <w:t xml:space="preserve">and improved </w:t>
      </w:r>
      <w:r w:rsidR="009A2B67" w:rsidRPr="00FF3125">
        <w:rPr>
          <w:rFonts w:ascii="Arial" w:hAnsi="Arial" w:cs="Arial"/>
          <w:sz w:val="22"/>
          <w:szCs w:val="22"/>
        </w:rPr>
        <w:t xml:space="preserve">mail </w:t>
      </w:r>
      <w:r w:rsidR="00111F41" w:rsidRPr="00FF3125">
        <w:rPr>
          <w:rFonts w:ascii="Arial" w:hAnsi="Arial" w:cs="Arial"/>
          <w:sz w:val="22"/>
          <w:szCs w:val="22"/>
        </w:rPr>
        <w:t>package delivery.</w:t>
      </w:r>
      <w:r w:rsidRPr="00FF3125">
        <w:rPr>
          <w:rFonts w:ascii="Arial" w:hAnsi="Arial" w:cs="Arial"/>
          <w:sz w:val="22"/>
          <w:szCs w:val="22"/>
        </w:rPr>
        <w:t xml:space="preserve">  The System’s staff continue to look for efficient operating methods and ways to bring services to students.  State funds are not used to support the Housing &amp; Dining </w:t>
      </w:r>
      <w:r w:rsidR="00FB7446" w:rsidRPr="00FF3125">
        <w:rPr>
          <w:rFonts w:ascii="Arial" w:hAnsi="Arial" w:cs="Arial"/>
          <w:sz w:val="22"/>
          <w:szCs w:val="22"/>
        </w:rPr>
        <w:t>S</w:t>
      </w:r>
      <w:r w:rsidRPr="00FF3125">
        <w:rPr>
          <w:rFonts w:ascii="Arial" w:hAnsi="Arial" w:cs="Arial"/>
          <w:sz w:val="22"/>
          <w:szCs w:val="22"/>
        </w:rPr>
        <w:t xml:space="preserve">ystem.  </w:t>
      </w:r>
    </w:p>
    <w:p w:rsidR="00C2299E" w:rsidRPr="00FF3125" w:rsidRDefault="00C2299E">
      <w:pPr>
        <w:rPr>
          <w:rFonts w:ascii="Arial" w:hAnsi="Arial" w:cs="Arial"/>
          <w:sz w:val="16"/>
          <w:szCs w:val="16"/>
          <w:u w:val="single"/>
        </w:rPr>
      </w:pPr>
    </w:p>
    <w:p w:rsidR="00A848E0" w:rsidRPr="00FF3125" w:rsidRDefault="00BA6F38">
      <w:pPr>
        <w:rPr>
          <w:rFonts w:ascii="Arial" w:hAnsi="Arial" w:cs="Arial"/>
          <w:sz w:val="22"/>
          <w:szCs w:val="22"/>
        </w:rPr>
      </w:pPr>
      <w:r w:rsidRPr="00FF3125">
        <w:rPr>
          <w:rFonts w:ascii="Arial" w:hAnsi="Arial" w:cs="Arial"/>
          <w:sz w:val="22"/>
          <w:szCs w:val="22"/>
          <w:u w:val="single"/>
        </w:rPr>
        <w:t>Proposed</w:t>
      </w:r>
      <w:r w:rsidR="0073182F" w:rsidRPr="00FF3125">
        <w:rPr>
          <w:rFonts w:ascii="Arial" w:hAnsi="Arial" w:cs="Arial"/>
          <w:sz w:val="22"/>
          <w:szCs w:val="22"/>
          <w:u w:val="single"/>
        </w:rPr>
        <w:t xml:space="preserve"> </w:t>
      </w:r>
      <w:r w:rsidR="00A848E0" w:rsidRPr="00FF3125">
        <w:rPr>
          <w:rFonts w:ascii="Arial" w:hAnsi="Arial" w:cs="Arial"/>
          <w:sz w:val="22"/>
          <w:szCs w:val="22"/>
          <w:u w:val="single"/>
        </w:rPr>
        <w:t>Rate Increase</w:t>
      </w:r>
      <w:r w:rsidR="00A848E0" w:rsidRPr="00FF3125">
        <w:rPr>
          <w:rFonts w:ascii="Arial" w:hAnsi="Arial" w:cs="Arial"/>
          <w:sz w:val="22"/>
          <w:szCs w:val="22"/>
        </w:rPr>
        <w:t>:</w:t>
      </w:r>
    </w:p>
    <w:p w:rsidR="00C403E1" w:rsidRPr="00FF3125" w:rsidRDefault="00EF28FB" w:rsidP="00C403E1">
      <w:pPr>
        <w:numPr>
          <w:ilvl w:val="0"/>
          <w:numId w:val="1"/>
        </w:numPr>
        <w:rPr>
          <w:rFonts w:ascii="Arial" w:hAnsi="Arial" w:cs="Arial"/>
          <w:sz w:val="22"/>
          <w:szCs w:val="22"/>
        </w:rPr>
      </w:pPr>
      <w:r w:rsidRPr="00FF3125">
        <w:rPr>
          <w:rFonts w:ascii="Arial" w:hAnsi="Arial" w:cs="Arial"/>
          <w:sz w:val="22"/>
          <w:szCs w:val="22"/>
        </w:rPr>
        <w:t xml:space="preserve">The proposed Residence Hall and Birnam Wood rate increase is </w:t>
      </w:r>
      <w:r w:rsidR="00F3340E" w:rsidRPr="00FF3125">
        <w:rPr>
          <w:rFonts w:ascii="Arial" w:hAnsi="Arial" w:cs="Arial"/>
          <w:sz w:val="22"/>
          <w:szCs w:val="22"/>
        </w:rPr>
        <w:t>3</w:t>
      </w:r>
      <w:r w:rsidR="00BA6F38" w:rsidRPr="00FF3125">
        <w:rPr>
          <w:rFonts w:ascii="Arial" w:hAnsi="Arial" w:cs="Arial"/>
          <w:sz w:val="22"/>
          <w:szCs w:val="22"/>
        </w:rPr>
        <w:t>%.</w:t>
      </w:r>
    </w:p>
    <w:p w:rsidR="00E2697A" w:rsidRPr="00FF3125" w:rsidRDefault="00E2697A" w:rsidP="00C403E1">
      <w:pPr>
        <w:numPr>
          <w:ilvl w:val="0"/>
          <w:numId w:val="1"/>
        </w:numPr>
        <w:rPr>
          <w:rFonts w:ascii="Arial" w:hAnsi="Arial" w:cs="Arial"/>
          <w:sz w:val="22"/>
          <w:szCs w:val="22"/>
        </w:rPr>
      </w:pPr>
      <w:r w:rsidRPr="00FF3125">
        <w:rPr>
          <w:rFonts w:ascii="Arial" w:hAnsi="Arial" w:cs="Arial"/>
          <w:sz w:val="22"/>
          <w:szCs w:val="22"/>
        </w:rPr>
        <w:t xml:space="preserve">The budget and rate materials presented </w:t>
      </w:r>
      <w:r w:rsidR="007030AC" w:rsidRPr="00FF3125">
        <w:rPr>
          <w:rFonts w:ascii="Arial" w:hAnsi="Arial" w:cs="Arial"/>
          <w:sz w:val="22"/>
          <w:szCs w:val="22"/>
        </w:rPr>
        <w:t xml:space="preserve">below </w:t>
      </w:r>
      <w:r w:rsidRPr="00FF3125">
        <w:rPr>
          <w:rFonts w:ascii="Arial" w:hAnsi="Arial" w:cs="Arial"/>
          <w:sz w:val="22"/>
          <w:szCs w:val="22"/>
        </w:rPr>
        <w:t>show that th</w:t>
      </w:r>
      <w:r w:rsidR="00F3340E" w:rsidRPr="00FF3125">
        <w:rPr>
          <w:rFonts w:ascii="Arial" w:hAnsi="Arial" w:cs="Arial"/>
          <w:sz w:val="22"/>
          <w:szCs w:val="22"/>
        </w:rPr>
        <w:t>e System can support its 2015-16</w:t>
      </w:r>
      <w:r w:rsidRPr="00FF3125">
        <w:rPr>
          <w:rFonts w:ascii="Arial" w:hAnsi="Arial" w:cs="Arial"/>
          <w:sz w:val="22"/>
          <w:szCs w:val="22"/>
        </w:rPr>
        <w:t xml:space="preserve"> </w:t>
      </w:r>
      <w:r w:rsidR="000D6018" w:rsidRPr="00FF3125">
        <w:rPr>
          <w:rFonts w:ascii="Arial" w:hAnsi="Arial" w:cs="Arial"/>
          <w:sz w:val="22"/>
          <w:szCs w:val="22"/>
        </w:rPr>
        <w:t>programs</w:t>
      </w:r>
      <w:r w:rsidRPr="00FF3125">
        <w:rPr>
          <w:rFonts w:ascii="Arial" w:hAnsi="Arial" w:cs="Arial"/>
          <w:sz w:val="22"/>
          <w:szCs w:val="22"/>
        </w:rPr>
        <w:t xml:space="preserve"> with a ra</w:t>
      </w:r>
      <w:r w:rsidR="00F3340E" w:rsidRPr="00FF3125">
        <w:rPr>
          <w:rFonts w:ascii="Arial" w:hAnsi="Arial" w:cs="Arial"/>
          <w:sz w:val="22"/>
          <w:szCs w:val="22"/>
        </w:rPr>
        <w:t>te increase of 3</w:t>
      </w:r>
      <w:r w:rsidRPr="00FF3125">
        <w:rPr>
          <w:rFonts w:ascii="Arial" w:hAnsi="Arial" w:cs="Arial"/>
          <w:sz w:val="22"/>
          <w:szCs w:val="22"/>
        </w:rPr>
        <w:t>%</w:t>
      </w:r>
      <w:r w:rsidR="001758E6" w:rsidRPr="00FF3125">
        <w:rPr>
          <w:rFonts w:ascii="Arial" w:hAnsi="Arial" w:cs="Arial"/>
          <w:sz w:val="22"/>
          <w:szCs w:val="22"/>
        </w:rPr>
        <w:t xml:space="preserve"> based on o</w:t>
      </w:r>
      <w:r w:rsidR="00122178" w:rsidRPr="00FF3125">
        <w:rPr>
          <w:rFonts w:ascii="Arial" w:hAnsi="Arial" w:cs="Arial"/>
          <w:sz w:val="22"/>
          <w:szCs w:val="22"/>
        </w:rPr>
        <w:t>ur current understanding of expected inflationary pressures.</w:t>
      </w:r>
      <w:r w:rsidRPr="00FF3125">
        <w:rPr>
          <w:rFonts w:ascii="Arial" w:hAnsi="Arial" w:cs="Arial"/>
          <w:sz w:val="22"/>
          <w:szCs w:val="22"/>
        </w:rPr>
        <w:t xml:space="preserve">  </w:t>
      </w:r>
    </w:p>
    <w:p w:rsidR="00E2697A" w:rsidRPr="00FF3125" w:rsidRDefault="00F3340E" w:rsidP="00C403E1">
      <w:pPr>
        <w:numPr>
          <w:ilvl w:val="0"/>
          <w:numId w:val="1"/>
        </w:numPr>
        <w:rPr>
          <w:rFonts w:ascii="Arial" w:hAnsi="Arial" w:cs="Arial"/>
          <w:sz w:val="22"/>
          <w:szCs w:val="22"/>
        </w:rPr>
      </w:pPr>
      <w:r w:rsidRPr="00FF3125">
        <w:rPr>
          <w:rFonts w:ascii="Arial" w:hAnsi="Arial" w:cs="Arial"/>
          <w:sz w:val="22"/>
          <w:szCs w:val="22"/>
        </w:rPr>
        <w:t>The 3</w:t>
      </w:r>
      <w:r w:rsidR="00BA6F38" w:rsidRPr="00FF3125">
        <w:rPr>
          <w:rFonts w:ascii="Arial" w:hAnsi="Arial" w:cs="Arial"/>
          <w:sz w:val="22"/>
          <w:szCs w:val="22"/>
        </w:rPr>
        <w:t>% increase</w:t>
      </w:r>
      <w:r w:rsidR="00B95D75" w:rsidRPr="00FF3125">
        <w:rPr>
          <w:rFonts w:ascii="Arial" w:hAnsi="Arial" w:cs="Arial"/>
          <w:sz w:val="22"/>
          <w:szCs w:val="22"/>
        </w:rPr>
        <w:t xml:space="preserve"> is</w:t>
      </w:r>
      <w:r w:rsidR="007051D0" w:rsidRPr="00FF3125">
        <w:rPr>
          <w:rFonts w:ascii="Arial" w:hAnsi="Arial" w:cs="Arial"/>
          <w:sz w:val="22"/>
          <w:szCs w:val="22"/>
        </w:rPr>
        <w:t xml:space="preserve"> consistent with</w:t>
      </w:r>
      <w:r w:rsidR="00122178" w:rsidRPr="00FF3125">
        <w:rPr>
          <w:rFonts w:ascii="Arial" w:hAnsi="Arial" w:cs="Arial"/>
          <w:sz w:val="22"/>
          <w:szCs w:val="22"/>
        </w:rPr>
        <w:t xml:space="preserve"> the </w:t>
      </w:r>
      <w:r w:rsidR="00E2697A" w:rsidRPr="00FF3125">
        <w:rPr>
          <w:rFonts w:ascii="Arial" w:hAnsi="Arial" w:cs="Arial"/>
          <w:sz w:val="22"/>
          <w:szCs w:val="22"/>
        </w:rPr>
        <w:t xml:space="preserve">long range </w:t>
      </w:r>
      <w:r w:rsidR="000D6018" w:rsidRPr="00FF3125">
        <w:rPr>
          <w:rFonts w:ascii="Arial" w:hAnsi="Arial" w:cs="Arial"/>
          <w:sz w:val="22"/>
          <w:szCs w:val="22"/>
        </w:rPr>
        <w:t>financing plan</w:t>
      </w:r>
      <w:r w:rsidR="00E2697A" w:rsidRPr="00FF3125">
        <w:rPr>
          <w:rFonts w:ascii="Arial" w:hAnsi="Arial" w:cs="Arial"/>
          <w:sz w:val="22"/>
          <w:szCs w:val="22"/>
        </w:rPr>
        <w:t xml:space="preserve"> presented to the</w:t>
      </w:r>
      <w:r w:rsidR="001758E6" w:rsidRPr="00FF3125">
        <w:rPr>
          <w:rFonts w:ascii="Arial" w:hAnsi="Arial" w:cs="Arial"/>
          <w:sz w:val="22"/>
          <w:szCs w:val="22"/>
        </w:rPr>
        <w:t xml:space="preserve"> Board of Trustees </w:t>
      </w:r>
      <w:r w:rsidR="00BA6F38" w:rsidRPr="00FF3125">
        <w:rPr>
          <w:rFonts w:ascii="Arial" w:hAnsi="Arial" w:cs="Arial"/>
          <w:sz w:val="22"/>
          <w:szCs w:val="22"/>
        </w:rPr>
        <w:t>which</w:t>
      </w:r>
      <w:r w:rsidR="00E2697A" w:rsidRPr="00FF3125">
        <w:rPr>
          <w:rFonts w:ascii="Arial" w:hAnsi="Arial" w:cs="Arial"/>
          <w:sz w:val="22"/>
          <w:szCs w:val="22"/>
        </w:rPr>
        <w:t xml:space="preserve"> </w:t>
      </w:r>
      <w:r w:rsidR="001758E6" w:rsidRPr="00FF3125">
        <w:rPr>
          <w:rFonts w:ascii="Arial" w:hAnsi="Arial" w:cs="Arial"/>
          <w:sz w:val="22"/>
          <w:szCs w:val="22"/>
        </w:rPr>
        <w:t>projects</w:t>
      </w:r>
      <w:r w:rsidR="00BA6F38" w:rsidRPr="00FF3125">
        <w:rPr>
          <w:rFonts w:ascii="Arial" w:hAnsi="Arial" w:cs="Arial"/>
          <w:sz w:val="22"/>
          <w:szCs w:val="22"/>
        </w:rPr>
        <w:t xml:space="preserve"> annual increases </w:t>
      </w:r>
      <w:r w:rsidR="00716595" w:rsidRPr="00FF3125">
        <w:rPr>
          <w:rFonts w:ascii="Arial" w:hAnsi="Arial" w:cs="Arial"/>
          <w:sz w:val="22"/>
          <w:szCs w:val="22"/>
        </w:rPr>
        <w:t xml:space="preserve">for the System </w:t>
      </w:r>
      <w:r w:rsidR="00BA6F38" w:rsidRPr="00FF3125">
        <w:rPr>
          <w:rFonts w:ascii="Arial" w:hAnsi="Arial" w:cs="Arial"/>
          <w:sz w:val="22"/>
          <w:szCs w:val="22"/>
        </w:rPr>
        <w:t xml:space="preserve">in the </w:t>
      </w:r>
      <w:r w:rsidRPr="00FF3125">
        <w:rPr>
          <w:rFonts w:ascii="Arial" w:hAnsi="Arial" w:cs="Arial"/>
          <w:sz w:val="22"/>
          <w:szCs w:val="22"/>
        </w:rPr>
        <w:t>3.5</w:t>
      </w:r>
      <w:r w:rsidR="00C96B90" w:rsidRPr="00FF3125">
        <w:rPr>
          <w:rFonts w:ascii="Arial" w:hAnsi="Arial" w:cs="Arial"/>
          <w:sz w:val="22"/>
          <w:szCs w:val="22"/>
        </w:rPr>
        <w:t xml:space="preserve">% </w:t>
      </w:r>
      <w:r w:rsidR="00E2697A" w:rsidRPr="00FF3125">
        <w:rPr>
          <w:rFonts w:ascii="Arial" w:hAnsi="Arial" w:cs="Arial"/>
          <w:sz w:val="22"/>
          <w:szCs w:val="22"/>
        </w:rPr>
        <w:t>-</w:t>
      </w:r>
      <w:r w:rsidR="00122789" w:rsidRPr="00FF3125">
        <w:rPr>
          <w:rFonts w:ascii="Arial" w:hAnsi="Arial" w:cs="Arial"/>
          <w:sz w:val="22"/>
          <w:szCs w:val="22"/>
        </w:rPr>
        <w:t xml:space="preserve"> </w:t>
      </w:r>
      <w:r w:rsidR="000D6018" w:rsidRPr="00FF3125">
        <w:rPr>
          <w:rFonts w:ascii="Arial" w:hAnsi="Arial" w:cs="Arial"/>
          <w:sz w:val="22"/>
          <w:szCs w:val="22"/>
        </w:rPr>
        <w:t>5% range</w:t>
      </w:r>
      <w:r w:rsidR="001758E6" w:rsidRPr="00FF3125">
        <w:rPr>
          <w:rFonts w:ascii="Arial" w:hAnsi="Arial" w:cs="Arial"/>
          <w:sz w:val="22"/>
          <w:szCs w:val="22"/>
        </w:rPr>
        <w:t xml:space="preserve"> over a ten year period</w:t>
      </w:r>
      <w:r w:rsidR="00BA6F38" w:rsidRPr="00FF3125">
        <w:rPr>
          <w:rFonts w:ascii="Arial" w:hAnsi="Arial" w:cs="Arial"/>
          <w:sz w:val="22"/>
          <w:szCs w:val="22"/>
        </w:rPr>
        <w:t>.</w:t>
      </w:r>
      <w:r w:rsidR="00122178" w:rsidRPr="00FF3125">
        <w:rPr>
          <w:rFonts w:ascii="Arial" w:hAnsi="Arial" w:cs="Arial"/>
          <w:sz w:val="22"/>
          <w:szCs w:val="22"/>
        </w:rPr>
        <w:t xml:space="preserve"> The projects in the long range financing plan are </w:t>
      </w:r>
      <w:r w:rsidR="00514B82" w:rsidRPr="00FF3125">
        <w:rPr>
          <w:rFonts w:ascii="Arial" w:hAnsi="Arial" w:cs="Arial"/>
          <w:sz w:val="22"/>
          <w:szCs w:val="22"/>
        </w:rPr>
        <w:t>not affected by this slight</w:t>
      </w:r>
      <w:r w:rsidR="00122178" w:rsidRPr="00FF3125">
        <w:rPr>
          <w:rFonts w:ascii="Arial" w:hAnsi="Arial" w:cs="Arial"/>
          <w:sz w:val="22"/>
          <w:szCs w:val="22"/>
        </w:rPr>
        <w:t xml:space="preserve"> reduction.</w:t>
      </w:r>
    </w:p>
    <w:p w:rsidR="007B455E" w:rsidRPr="00FF3125" w:rsidRDefault="007B455E" w:rsidP="00E2697A">
      <w:pPr>
        <w:rPr>
          <w:rFonts w:ascii="Arial" w:hAnsi="Arial" w:cs="Arial"/>
          <w:sz w:val="16"/>
          <w:szCs w:val="16"/>
          <w:highlight w:val="green"/>
        </w:rPr>
      </w:pPr>
    </w:p>
    <w:p w:rsidR="00A848E0" w:rsidRPr="00FF3125" w:rsidRDefault="00A848E0" w:rsidP="003844FA">
      <w:pPr>
        <w:rPr>
          <w:rFonts w:ascii="Arial" w:hAnsi="Arial" w:cs="Arial"/>
          <w:sz w:val="22"/>
          <w:szCs w:val="22"/>
        </w:rPr>
      </w:pPr>
      <w:r w:rsidRPr="00FF3125">
        <w:rPr>
          <w:rFonts w:ascii="Arial" w:hAnsi="Arial" w:cs="Arial"/>
          <w:sz w:val="22"/>
          <w:szCs w:val="22"/>
          <w:u w:val="single"/>
        </w:rPr>
        <w:t>Impact of the Rate Increases</w:t>
      </w:r>
      <w:r w:rsidR="001D2D79" w:rsidRPr="00FF3125">
        <w:rPr>
          <w:rFonts w:ascii="Arial" w:hAnsi="Arial" w:cs="Arial"/>
          <w:sz w:val="22"/>
          <w:szCs w:val="22"/>
          <w:u w:val="single"/>
        </w:rPr>
        <w:t xml:space="preserve">  </w:t>
      </w:r>
    </w:p>
    <w:p w:rsidR="00A848E0" w:rsidRPr="00FF3125" w:rsidRDefault="00A848E0" w:rsidP="008E04A7">
      <w:pPr>
        <w:numPr>
          <w:ilvl w:val="0"/>
          <w:numId w:val="1"/>
        </w:numPr>
        <w:rPr>
          <w:rFonts w:ascii="Arial" w:hAnsi="Arial" w:cs="Arial"/>
          <w:sz w:val="22"/>
          <w:szCs w:val="22"/>
        </w:rPr>
      </w:pPr>
      <w:r w:rsidRPr="00FF3125">
        <w:rPr>
          <w:rFonts w:ascii="Arial" w:hAnsi="Arial" w:cs="Arial"/>
          <w:sz w:val="22"/>
          <w:szCs w:val="22"/>
        </w:rPr>
        <w:t>Resid</w:t>
      </w:r>
      <w:r w:rsidR="00CC7796" w:rsidRPr="00FF3125">
        <w:rPr>
          <w:rFonts w:ascii="Arial" w:hAnsi="Arial" w:cs="Arial"/>
          <w:sz w:val="22"/>
          <w:szCs w:val="22"/>
        </w:rPr>
        <w:t xml:space="preserve">ence Halls: </w:t>
      </w:r>
      <w:r w:rsidR="00BA6F38" w:rsidRPr="00FF3125">
        <w:rPr>
          <w:rFonts w:ascii="Arial" w:hAnsi="Arial" w:cs="Arial"/>
          <w:sz w:val="22"/>
          <w:szCs w:val="22"/>
        </w:rPr>
        <w:t xml:space="preserve">At a </w:t>
      </w:r>
      <w:r w:rsidR="00F3340E" w:rsidRPr="00FF3125">
        <w:rPr>
          <w:rFonts w:ascii="Arial" w:hAnsi="Arial" w:cs="Arial"/>
          <w:sz w:val="22"/>
          <w:szCs w:val="22"/>
        </w:rPr>
        <w:t>3</w:t>
      </w:r>
      <w:r w:rsidR="001D2D79" w:rsidRPr="00FF3125">
        <w:rPr>
          <w:rFonts w:ascii="Arial" w:hAnsi="Arial" w:cs="Arial"/>
          <w:sz w:val="22"/>
          <w:szCs w:val="22"/>
        </w:rPr>
        <w:t>%</w:t>
      </w:r>
      <w:r w:rsidR="000D6018" w:rsidRPr="00FF3125">
        <w:rPr>
          <w:rFonts w:ascii="Arial" w:hAnsi="Arial" w:cs="Arial"/>
          <w:sz w:val="22"/>
          <w:szCs w:val="22"/>
        </w:rPr>
        <w:t xml:space="preserve"> increase, a d</w:t>
      </w:r>
      <w:r w:rsidR="00CC7796" w:rsidRPr="00FF3125">
        <w:rPr>
          <w:rFonts w:ascii="Arial" w:hAnsi="Arial" w:cs="Arial"/>
          <w:sz w:val="22"/>
          <w:szCs w:val="22"/>
        </w:rPr>
        <w:t>ouble</w:t>
      </w:r>
      <w:r w:rsidR="000D6018" w:rsidRPr="00FF3125">
        <w:rPr>
          <w:rFonts w:ascii="Arial" w:hAnsi="Arial" w:cs="Arial"/>
          <w:sz w:val="22"/>
          <w:szCs w:val="22"/>
        </w:rPr>
        <w:t xml:space="preserve"> r</w:t>
      </w:r>
      <w:r w:rsidR="00CC7796" w:rsidRPr="00FF3125">
        <w:rPr>
          <w:rFonts w:ascii="Arial" w:hAnsi="Arial" w:cs="Arial"/>
          <w:sz w:val="22"/>
          <w:szCs w:val="22"/>
        </w:rPr>
        <w:t>oo</w:t>
      </w:r>
      <w:r w:rsidR="00C403E1" w:rsidRPr="00FF3125">
        <w:rPr>
          <w:rFonts w:ascii="Arial" w:hAnsi="Arial" w:cs="Arial"/>
          <w:sz w:val="22"/>
          <w:szCs w:val="22"/>
        </w:rPr>
        <w:t>m w/125</w:t>
      </w:r>
      <w:r w:rsidRPr="00FF3125">
        <w:rPr>
          <w:rFonts w:ascii="Arial" w:hAnsi="Arial" w:cs="Arial"/>
          <w:sz w:val="22"/>
          <w:szCs w:val="22"/>
        </w:rPr>
        <w:t xml:space="preserve"> M</w:t>
      </w:r>
      <w:r w:rsidR="00800FB3" w:rsidRPr="00FF3125">
        <w:rPr>
          <w:rFonts w:ascii="Arial" w:hAnsi="Arial" w:cs="Arial"/>
          <w:sz w:val="22"/>
          <w:szCs w:val="22"/>
        </w:rPr>
        <w:t>e</w:t>
      </w:r>
      <w:r w:rsidR="00B42C46" w:rsidRPr="00FF3125">
        <w:rPr>
          <w:rFonts w:ascii="Arial" w:hAnsi="Arial" w:cs="Arial"/>
          <w:sz w:val="22"/>
          <w:szCs w:val="22"/>
        </w:rPr>
        <w:t>al Plan</w:t>
      </w:r>
      <w:r w:rsidR="007051D0" w:rsidRPr="00FF3125">
        <w:rPr>
          <w:rFonts w:ascii="Arial" w:hAnsi="Arial" w:cs="Arial"/>
          <w:sz w:val="22"/>
          <w:szCs w:val="22"/>
        </w:rPr>
        <w:t xml:space="preserve"> increases $4</w:t>
      </w:r>
      <w:r w:rsidR="00F3340E" w:rsidRPr="00FF3125">
        <w:rPr>
          <w:rFonts w:ascii="Arial" w:hAnsi="Arial" w:cs="Arial"/>
          <w:sz w:val="22"/>
          <w:szCs w:val="22"/>
        </w:rPr>
        <w:t>3</w:t>
      </w:r>
      <w:r w:rsidR="00FD3391" w:rsidRPr="00FF3125">
        <w:rPr>
          <w:rFonts w:ascii="Arial" w:hAnsi="Arial" w:cs="Arial"/>
          <w:sz w:val="22"/>
          <w:szCs w:val="22"/>
        </w:rPr>
        <w:t xml:space="preserve">/month </w:t>
      </w:r>
      <w:r w:rsidR="00F3340E" w:rsidRPr="00FF3125">
        <w:rPr>
          <w:rFonts w:ascii="Arial" w:hAnsi="Arial" w:cs="Arial"/>
          <w:sz w:val="22"/>
          <w:szCs w:val="22"/>
        </w:rPr>
        <w:t>or $386</w:t>
      </w:r>
      <w:r w:rsidRPr="00FF3125">
        <w:rPr>
          <w:rFonts w:ascii="Arial" w:hAnsi="Arial" w:cs="Arial"/>
          <w:sz w:val="22"/>
          <w:szCs w:val="22"/>
        </w:rPr>
        <w:t xml:space="preserve"> for </w:t>
      </w:r>
      <w:r w:rsidR="000D6018" w:rsidRPr="00FF3125">
        <w:rPr>
          <w:rFonts w:ascii="Arial" w:hAnsi="Arial" w:cs="Arial"/>
          <w:sz w:val="22"/>
          <w:szCs w:val="22"/>
        </w:rPr>
        <w:t>the school year</w:t>
      </w:r>
      <w:r w:rsidR="0071768B" w:rsidRPr="00FF3125">
        <w:rPr>
          <w:rFonts w:ascii="Arial" w:hAnsi="Arial" w:cs="Arial"/>
          <w:sz w:val="22"/>
          <w:szCs w:val="22"/>
        </w:rPr>
        <w:t>.</w:t>
      </w:r>
    </w:p>
    <w:p w:rsidR="00C403E1" w:rsidRPr="00FF3125" w:rsidRDefault="00A848E0" w:rsidP="008E04A7">
      <w:pPr>
        <w:numPr>
          <w:ilvl w:val="0"/>
          <w:numId w:val="1"/>
        </w:numPr>
        <w:rPr>
          <w:rFonts w:ascii="Arial" w:hAnsi="Arial" w:cs="Arial"/>
          <w:sz w:val="22"/>
          <w:szCs w:val="22"/>
        </w:rPr>
      </w:pPr>
      <w:r w:rsidRPr="00FF3125">
        <w:rPr>
          <w:rFonts w:ascii="Arial" w:hAnsi="Arial" w:cs="Arial"/>
          <w:sz w:val="22"/>
          <w:szCs w:val="22"/>
        </w:rPr>
        <w:t>Birnam Wood: W</w:t>
      </w:r>
      <w:r w:rsidR="009602F1" w:rsidRPr="00FF3125">
        <w:rPr>
          <w:rFonts w:ascii="Arial" w:hAnsi="Arial" w:cs="Arial"/>
          <w:sz w:val="22"/>
          <w:szCs w:val="22"/>
        </w:rPr>
        <w:t>ith 4 reside</w:t>
      </w:r>
      <w:r w:rsidR="00237CBE" w:rsidRPr="00FF3125">
        <w:rPr>
          <w:rFonts w:ascii="Arial" w:hAnsi="Arial" w:cs="Arial"/>
          <w:sz w:val="22"/>
          <w:szCs w:val="22"/>
        </w:rPr>
        <w:t>nt</w:t>
      </w:r>
      <w:r w:rsidR="00B42C46" w:rsidRPr="00FF3125">
        <w:rPr>
          <w:rFonts w:ascii="Arial" w:hAnsi="Arial" w:cs="Arial"/>
          <w:sz w:val="22"/>
          <w:szCs w:val="22"/>
        </w:rPr>
        <w:t>s per unit</w:t>
      </w:r>
      <w:r w:rsidR="0015060D" w:rsidRPr="00FF3125">
        <w:rPr>
          <w:rFonts w:ascii="Arial" w:hAnsi="Arial" w:cs="Arial"/>
          <w:sz w:val="22"/>
          <w:szCs w:val="22"/>
        </w:rPr>
        <w:t xml:space="preserve">:  </w:t>
      </w:r>
      <w:r w:rsidR="00F3340E" w:rsidRPr="00FF3125">
        <w:rPr>
          <w:rFonts w:ascii="Arial" w:hAnsi="Arial" w:cs="Arial"/>
          <w:sz w:val="22"/>
          <w:szCs w:val="22"/>
        </w:rPr>
        <w:t>3</w:t>
      </w:r>
      <w:r w:rsidR="001D2D79" w:rsidRPr="00FF3125">
        <w:rPr>
          <w:rFonts w:ascii="Arial" w:hAnsi="Arial" w:cs="Arial"/>
          <w:sz w:val="22"/>
          <w:szCs w:val="22"/>
        </w:rPr>
        <w:t>%</w:t>
      </w:r>
      <w:r w:rsidR="000D6018" w:rsidRPr="00FF3125">
        <w:rPr>
          <w:rFonts w:ascii="Arial" w:hAnsi="Arial" w:cs="Arial"/>
          <w:sz w:val="22"/>
          <w:szCs w:val="22"/>
        </w:rPr>
        <w:t xml:space="preserve"> increase</w:t>
      </w:r>
      <w:r w:rsidR="00F3340E" w:rsidRPr="00FF3125">
        <w:rPr>
          <w:rFonts w:ascii="Arial" w:hAnsi="Arial" w:cs="Arial"/>
          <w:sz w:val="22"/>
          <w:szCs w:val="22"/>
        </w:rPr>
        <w:t>s</w:t>
      </w:r>
      <w:r w:rsidR="0071768B" w:rsidRPr="00FF3125">
        <w:rPr>
          <w:rFonts w:ascii="Arial" w:hAnsi="Arial" w:cs="Arial"/>
          <w:sz w:val="22"/>
          <w:szCs w:val="22"/>
        </w:rPr>
        <w:t xml:space="preserve"> the rent </w:t>
      </w:r>
      <w:r w:rsidR="00F3340E" w:rsidRPr="00FF3125">
        <w:rPr>
          <w:rFonts w:ascii="Arial" w:hAnsi="Arial" w:cs="Arial"/>
          <w:sz w:val="22"/>
          <w:szCs w:val="22"/>
        </w:rPr>
        <w:t>$10.62</w:t>
      </w:r>
      <w:r w:rsidR="001762A5" w:rsidRPr="00FF3125">
        <w:rPr>
          <w:rFonts w:ascii="Arial" w:hAnsi="Arial" w:cs="Arial"/>
          <w:sz w:val="22"/>
          <w:szCs w:val="22"/>
        </w:rPr>
        <w:t xml:space="preserve">/month </w:t>
      </w:r>
      <w:r w:rsidR="0015060D" w:rsidRPr="00FF3125">
        <w:rPr>
          <w:rFonts w:ascii="Arial" w:hAnsi="Arial" w:cs="Arial"/>
          <w:sz w:val="22"/>
          <w:szCs w:val="22"/>
        </w:rPr>
        <w:t xml:space="preserve">or </w:t>
      </w:r>
      <w:r w:rsidR="00F3340E" w:rsidRPr="00FF3125">
        <w:rPr>
          <w:rFonts w:ascii="Arial" w:hAnsi="Arial" w:cs="Arial"/>
          <w:sz w:val="22"/>
          <w:szCs w:val="22"/>
        </w:rPr>
        <w:t>$96</w:t>
      </w:r>
      <w:r w:rsidR="001762A5" w:rsidRPr="00FF3125">
        <w:rPr>
          <w:rFonts w:ascii="Arial" w:hAnsi="Arial" w:cs="Arial"/>
          <w:sz w:val="22"/>
          <w:szCs w:val="22"/>
        </w:rPr>
        <w:t xml:space="preserve"> for the school yea</w:t>
      </w:r>
      <w:r w:rsidR="000D6018" w:rsidRPr="00FF3125">
        <w:rPr>
          <w:rFonts w:ascii="Arial" w:hAnsi="Arial" w:cs="Arial"/>
          <w:sz w:val="22"/>
          <w:szCs w:val="22"/>
        </w:rPr>
        <w:t>r</w:t>
      </w:r>
      <w:r w:rsidR="0071768B" w:rsidRPr="00FF3125">
        <w:rPr>
          <w:rFonts w:ascii="Arial" w:hAnsi="Arial" w:cs="Arial"/>
          <w:sz w:val="22"/>
          <w:szCs w:val="22"/>
        </w:rPr>
        <w:t>.</w:t>
      </w:r>
    </w:p>
    <w:p w:rsidR="00867B9F" w:rsidRPr="00FF3125" w:rsidRDefault="00867B9F" w:rsidP="004A2B28">
      <w:pPr>
        <w:rPr>
          <w:rFonts w:ascii="Arial" w:hAnsi="Arial" w:cs="Arial"/>
          <w:sz w:val="22"/>
          <w:szCs w:val="22"/>
        </w:rPr>
      </w:pPr>
    </w:p>
    <w:sectPr w:rsidR="00867B9F" w:rsidRPr="00FF3125" w:rsidSect="00FF3125">
      <w:pgSz w:w="12240" w:h="15840"/>
      <w:pgMar w:top="1440" w:right="1008"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16D" w:rsidRDefault="0066016D">
      <w:r>
        <w:separator/>
      </w:r>
    </w:p>
  </w:endnote>
  <w:endnote w:type="continuationSeparator" w:id="0">
    <w:p w:rsidR="0066016D" w:rsidRDefault="0066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16D" w:rsidRDefault="0066016D">
      <w:r>
        <w:separator/>
      </w:r>
    </w:p>
  </w:footnote>
  <w:footnote w:type="continuationSeparator" w:id="0">
    <w:p w:rsidR="0066016D" w:rsidRDefault="00660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06440E"/>
    <w:multiLevelType w:val="hybridMultilevel"/>
    <w:tmpl w:val="1BEA51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FE6860"/>
    <w:multiLevelType w:val="hybridMultilevel"/>
    <w:tmpl w:val="E28CB1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59"/>
    <w:rsid w:val="000024A3"/>
    <w:rsid w:val="0000581E"/>
    <w:rsid w:val="00015774"/>
    <w:rsid w:val="0002030E"/>
    <w:rsid w:val="00033215"/>
    <w:rsid w:val="000412C3"/>
    <w:rsid w:val="000466F0"/>
    <w:rsid w:val="00050107"/>
    <w:rsid w:val="0006071B"/>
    <w:rsid w:val="00076E65"/>
    <w:rsid w:val="0008346E"/>
    <w:rsid w:val="00087395"/>
    <w:rsid w:val="000911B7"/>
    <w:rsid w:val="00091792"/>
    <w:rsid w:val="00096714"/>
    <w:rsid w:val="000A524D"/>
    <w:rsid w:val="000B1124"/>
    <w:rsid w:val="000C5650"/>
    <w:rsid w:val="000D1786"/>
    <w:rsid w:val="000D502D"/>
    <w:rsid w:val="000D6018"/>
    <w:rsid w:val="000F1B60"/>
    <w:rsid w:val="000F3388"/>
    <w:rsid w:val="00111F41"/>
    <w:rsid w:val="00122178"/>
    <w:rsid w:val="00122789"/>
    <w:rsid w:val="0015060D"/>
    <w:rsid w:val="00152B85"/>
    <w:rsid w:val="001662DF"/>
    <w:rsid w:val="001758E6"/>
    <w:rsid w:val="001762A5"/>
    <w:rsid w:val="00181D04"/>
    <w:rsid w:val="001842E7"/>
    <w:rsid w:val="001871A3"/>
    <w:rsid w:val="001A026D"/>
    <w:rsid w:val="001A561D"/>
    <w:rsid w:val="001B1503"/>
    <w:rsid w:val="001B1989"/>
    <w:rsid w:val="001C2C43"/>
    <w:rsid w:val="001D0B3D"/>
    <w:rsid w:val="001D2D79"/>
    <w:rsid w:val="001E3CE2"/>
    <w:rsid w:val="001F5910"/>
    <w:rsid w:val="00216F7D"/>
    <w:rsid w:val="002228ED"/>
    <w:rsid w:val="002235D8"/>
    <w:rsid w:val="002245E7"/>
    <w:rsid w:val="00230751"/>
    <w:rsid w:val="0023439E"/>
    <w:rsid w:val="00237CBE"/>
    <w:rsid w:val="0025373F"/>
    <w:rsid w:val="0025407F"/>
    <w:rsid w:val="00257BB9"/>
    <w:rsid w:val="00261700"/>
    <w:rsid w:val="00263229"/>
    <w:rsid w:val="00280F73"/>
    <w:rsid w:val="00282013"/>
    <w:rsid w:val="00286E3D"/>
    <w:rsid w:val="002C0184"/>
    <w:rsid w:val="002C022F"/>
    <w:rsid w:val="002C314D"/>
    <w:rsid w:val="002D226E"/>
    <w:rsid w:val="002D5542"/>
    <w:rsid w:val="002D61B9"/>
    <w:rsid w:val="002E024F"/>
    <w:rsid w:val="002F2363"/>
    <w:rsid w:val="00300077"/>
    <w:rsid w:val="00310A9A"/>
    <w:rsid w:val="0031554B"/>
    <w:rsid w:val="003240E1"/>
    <w:rsid w:val="003248FD"/>
    <w:rsid w:val="00334661"/>
    <w:rsid w:val="003351F9"/>
    <w:rsid w:val="003359BF"/>
    <w:rsid w:val="00340407"/>
    <w:rsid w:val="00340C2B"/>
    <w:rsid w:val="003543AC"/>
    <w:rsid w:val="00362DDB"/>
    <w:rsid w:val="003844FA"/>
    <w:rsid w:val="003846E7"/>
    <w:rsid w:val="003918B0"/>
    <w:rsid w:val="003924B3"/>
    <w:rsid w:val="003927E6"/>
    <w:rsid w:val="003B121A"/>
    <w:rsid w:val="003D13AD"/>
    <w:rsid w:val="003D21B2"/>
    <w:rsid w:val="003D2B6F"/>
    <w:rsid w:val="003E0C29"/>
    <w:rsid w:val="003E1AFB"/>
    <w:rsid w:val="003F3225"/>
    <w:rsid w:val="00406608"/>
    <w:rsid w:val="00425A0B"/>
    <w:rsid w:val="00425A1F"/>
    <w:rsid w:val="00431DC5"/>
    <w:rsid w:val="00440A32"/>
    <w:rsid w:val="00446111"/>
    <w:rsid w:val="00446BCE"/>
    <w:rsid w:val="00454573"/>
    <w:rsid w:val="0047070A"/>
    <w:rsid w:val="00485F81"/>
    <w:rsid w:val="00487EA7"/>
    <w:rsid w:val="004A2B28"/>
    <w:rsid w:val="004A61F5"/>
    <w:rsid w:val="004E24C4"/>
    <w:rsid w:val="004E50DA"/>
    <w:rsid w:val="004F0BAE"/>
    <w:rsid w:val="005072E7"/>
    <w:rsid w:val="00514B82"/>
    <w:rsid w:val="00530500"/>
    <w:rsid w:val="00536C4C"/>
    <w:rsid w:val="0053720B"/>
    <w:rsid w:val="0054057A"/>
    <w:rsid w:val="005430FA"/>
    <w:rsid w:val="005464C3"/>
    <w:rsid w:val="00552B73"/>
    <w:rsid w:val="005660E5"/>
    <w:rsid w:val="00572593"/>
    <w:rsid w:val="0057654E"/>
    <w:rsid w:val="005A4AB8"/>
    <w:rsid w:val="005B3EE9"/>
    <w:rsid w:val="005B78ED"/>
    <w:rsid w:val="005C1460"/>
    <w:rsid w:val="005C56D1"/>
    <w:rsid w:val="005D04B7"/>
    <w:rsid w:val="005D3336"/>
    <w:rsid w:val="005E2DA7"/>
    <w:rsid w:val="005F41A3"/>
    <w:rsid w:val="005F433A"/>
    <w:rsid w:val="00604BA6"/>
    <w:rsid w:val="00607D57"/>
    <w:rsid w:val="0061008B"/>
    <w:rsid w:val="006219B4"/>
    <w:rsid w:val="00657DF4"/>
    <w:rsid w:val="0066016D"/>
    <w:rsid w:val="00691964"/>
    <w:rsid w:val="00693C8B"/>
    <w:rsid w:val="00694800"/>
    <w:rsid w:val="006A269D"/>
    <w:rsid w:val="006B1C4A"/>
    <w:rsid w:val="006B40A1"/>
    <w:rsid w:val="006C1D65"/>
    <w:rsid w:val="006C1D73"/>
    <w:rsid w:val="006D0012"/>
    <w:rsid w:val="006E3561"/>
    <w:rsid w:val="006E49B7"/>
    <w:rsid w:val="006F3C29"/>
    <w:rsid w:val="006F7310"/>
    <w:rsid w:val="00700B00"/>
    <w:rsid w:val="00702216"/>
    <w:rsid w:val="007026A6"/>
    <w:rsid w:val="007030AC"/>
    <w:rsid w:val="007051D0"/>
    <w:rsid w:val="007057D5"/>
    <w:rsid w:val="007114AE"/>
    <w:rsid w:val="00716595"/>
    <w:rsid w:val="0071768B"/>
    <w:rsid w:val="0073182F"/>
    <w:rsid w:val="00743450"/>
    <w:rsid w:val="00750F7E"/>
    <w:rsid w:val="007676C4"/>
    <w:rsid w:val="007A74DC"/>
    <w:rsid w:val="007B455E"/>
    <w:rsid w:val="007B4A23"/>
    <w:rsid w:val="007D1AEC"/>
    <w:rsid w:val="007D30D6"/>
    <w:rsid w:val="007D3BEC"/>
    <w:rsid w:val="007E420E"/>
    <w:rsid w:val="007E4AC0"/>
    <w:rsid w:val="007F059E"/>
    <w:rsid w:val="007F0766"/>
    <w:rsid w:val="007F5822"/>
    <w:rsid w:val="00800FB3"/>
    <w:rsid w:val="0082011B"/>
    <w:rsid w:val="00823006"/>
    <w:rsid w:val="008249A1"/>
    <w:rsid w:val="00834C9C"/>
    <w:rsid w:val="008612B4"/>
    <w:rsid w:val="00867B9F"/>
    <w:rsid w:val="00884AA9"/>
    <w:rsid w:val="00897953"/>
    <w:rsid w:val="008A2EAF"/>
    <w:rsid w:val="008C5B6B"/>
    <w:rsid w:val="008C6647"/>
    <w:rsid w:val="008C77FC"/>
    <w:rsid w:val="008D099F"/>
    <w:rsid w:val="008D5212"/>
    <w:rsid w:val="008E04A7"/>
    <w:rsid w:val="008F113E"/>
    <w:rsid w:val="00902D4F"/>
    <w:rsid w:val="0091614F"/>
    <w:rsid w:val="00936F7B"/>
    <w:rsid w:val="00940077"/>
    <w:rsid w:val="0094244F"/>
    <w:rsid w:val="009602F1"/>
    <w:rsid w:val="00962F42"/>
    <w:rsid w:val="0097448B"/>
    <w:rsid w:val="00981BA8"/>
    <w:rsid w:val="0099700B"/>
    <w:rsid w:val="00997AA4"/>
    <w:rsid w:val="009A2B67"/>
    <w:rsid w:val="009E5E24"/>
    <w:rsid w:val="009E5F1B"/>
    <w:rsid w:val="009E7D92"/>
    <w:rsid w:val="009F5888"/>
    <w:rsid w:val="009F7E40"/>
    <w:rsid w:val="00A10CF4"/>
    <w:rsid w:val="00A16BA2"/>
    <w:rsid w:val="00A2498C"/>
    <w:rsid w:val="00A25E04"/>
    <w:rsid w:val="00A3553F"/>
    <w:rsid w:val="00A40C38"/>
    <w:rsid w:val="00A41138"/>
    <w:rsid w:val="00A427AE"/>
    <w:rsid w:val="00A4372D"/>
    <w:rsid w:val="00A444D0"/>
    <w:rsid w:val="00A477D7"/>
    <w:rsid w:val="00A67BD6"/>
    <w:rsid w:val="00A701EF"/>
    <w:rsid w:val="00A711D6"/>
    <w:rsid w:val="00A71A5C"/>
    <w:rsid w:val="00A73B55"/>
    <w:rsid w:val="00A74030"/>
    <w:rsid w:val="00A848E0"/>
    <w:rsid w:val="00A870F1"/>
    <w:rsid w:val="00A90DFE"/>
    <w:rsid w:val="00A977B0"/>
    <w:rsid w:val="00AA1F87"/>
    <w:rsid w:val="00AC5038"/>
    <w:rsid w:val="00AD4F43"/>
    <w:rsid w:val="00AD62DB"/>
    <w:rsid w:val="00AE7C93"/>
    <w:rsid w:val="00B0571C"/>
    <w:rsid w:val="00B06E94"/>
    <w:rsid w:val="00B27DAA"/>
    <w:rsid w:val="00B31E23"/>
    <w:rsid w:val="00B42C46"/>
    <w:rsid w:val="00B56286"/>
    <w:rsid w:val="00B6080E"/>
    <w:rsid w:val="00B60E28"/>
    <w:rsid w:val="00B7780B"/>
    <w:rsid w:val="00B85668"/>
    <w:rsid w:val="00B87798"/>
    <w:rsid w:val="00B9477E"/>
    <w:rsid w:val="00B948F0"/>
    <w:rsid w:val="00B95D75"/>
    <w:rsid w:val="00BA6F38"/>
    <w:rsid w:val="00BB238E"/>
    <w:rsid w:val="00BB41B4"/>
    <w:rsid w:val="00BC46DF"/>
    <w:rsid w:val="00BC6159"/>
    <w:rsid w:val="00BD460E"/>
    <w:rsid w:val="00BE040B"/>
    <w:rsid w:val="00BE2591"/>
    <w:rsid w:val="00BE6328"/>
    <w:rsid w:val="00BE6947"/>
    <w:rsid w:val="00BF4A91"/>
    <w:rsid w:val="00BF4D02"/>
    <w:rsid w:val="00BF6B01"/>
    <w:rsid w:val="00C0540C"/>
    <w:rsid w:val="00C11B79"/>
    <w:rsid w:val="00C20C60"/>
    <w:rsid w:val="00C2299E"/>
    <w:rsid w:val="00C22A01"/>
    <w:rsid w:val="00C234F3"/>
    <w:rsid w:val="00C27055"/>
    <w:rsid w:val="00C403E1"/>
    <w:rsid w:val="00C42791"/>
    <w:rsid w:val="00C43479"/>
    <w:rsid w:val="00C4381D"/>
    <w:rsid w:val="00C463A2"/>
    <w:rsid w:val="00C46DE9"/>
    <w:rsid w:val="00C618BA"/>
    <w:rsid w:val="00C674C1"/>
    <w:rsid w:val="00C71DAA"/>
    <w:rsid w:val="00C77307"/>
    <w:rsid w:val="00C833B0"/>
    <w:rsid w:val="00C93BDA"/>
    <w:rsid w:val="00C96B90"/>
    <w:rsid w:val="00CA2094"/>
    <w:rsid w:val="00CC7796"/>
    <w:rsid w:val="00CC7D41"/>
    <w:rsid w:val="00CC7F9C"/>
    <w:rsid w:val="00CF34A9"/>
    <w:rsid w:val="00D21F5D"/>
    <w:rsid w:val="00D42DAD"/>
    <w:rsid w:val="00D42FFD"/>
    <w:rsid w:val="00D436C8"/>
    <w:rsid w:val="00D57BB1"/>
    <w:rsid w:val="00D6283B"/>
    <w:rsid w:val="00D83410"/>
    <w:rsid w:val="00D97CE4"/>
    <w:rsid w:val="00DA336E"/>
    <w:rsid w:val="00DA5467"/>
    <w:rsid w:val="00DB59D2"/>
    <w:rsid w:val="00DC08A1"/>
    <w:rsid w:val="00DC38AD"/>
    <w:rsid w:val="00DD2416"/>
    <w:rsid w:val="00DE082F"/>
    <w:rsid w:val="00DE462E"/>
    <w:rsid w:val="00DE5D3C"/>
    <w:rsid w:val="00E003EC"/>
    <w:rsid w:val="00E12681"/>
    <w:rsid w:val="00E162CD"/>
    <w:rsid w:val="00E21B24"/>
    <w:rsid w:val="00E265DC"/>
    <w:rsid w:val="00E2697A"/>
    <w:rsid w:val="00E50E3B"/>
    <w:rsid w:val="00E644E2"/>
    <w:rsid w:val="00E74DA1"/>
    <w:rsid w:val="00E83614"/>
    <w:rsid w:val="00E863C9"/>
    <w:rsid w:val="00EA3FF6"/>
    <w:rsid w:val="00EB0F7D"/>
    <w:rsid w:val="00EB7FA0"/>
    <w:rsid w:val="00EC0FC5"/>
    <w:rsid w:val="00EC59C9"/>
    <w:rsid w:val="00EF0686"/>
    <w:rsid w:val="00EF28FB"/>
    <w:rsid w:val="00F03403"/>
    <w:rsid w:val="00F06255"/>
    <w:rsid w:val="00F10871"/>
    <w:rsid w:val="00F320E9"/>
    <w:rsid w:val="00F3340E"/>
    <w:rsid w:val="00F372A9"/>
    <w:rsid w:val="00F42FD7"/>
    <w:rsid w:val="00F53E16"/>
    <w:rsid w:val="00F81E68"/>
    <w:rsid w:val="00F826D4"/>
    <w:rsid w:val="00F83CF2"/>
    <w:rsid w:val="00F85775"/>
    <w:rsid w:val="00F86CE2"/>
    <w:rsid w:val="00FB7446"/>
    <w:rsid w:val="00FC40D0"/>
    <w:rsid w:val="00FC7E7D"/>
    <w:rsid w:val="00FD02CB"/>
    <w:rsid w:val="00FD0D0A"/>
    <w:rsid w:val="00FD3391"/>
    <w:rsid w:val="00FD388F"/>
    <w:rsid w:val="00FD7510"/>
    <w:rsid w:val="00FE1EB0"/>
    <w:rsid w:val="00FE7847"/>
    <w:rsid w:val="00FF3125"/>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D9F13EE-4990-44B4-9A2E-BD8C2BBD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360"/>
      </w:tabs>
    </w:pPr>
    <w:rPr>
      <w:i/>
      <w:iCs/>
    </w:rPr>
  </w:style>
  <w:style w:type="paragraph" w:styleId="BalloonText">
    <w:name w:val="Balloon Text"/>
    <w:basedOn w:val="Normal"/>
    <w:semiHidden/>
    <w:rsid w:val="003E1AFB"/>
    <w:rPr>
      <w:rFonts w:ascii="Tahoma" w:hAnsi="Tahoma" w:cs="Tahoma"/>
      <w:sz w:val="16"/>
      <w:szCs w:val="16"/>
    </w:rPr>
  </w:style>
  <w:style w:type="character" w:styleId="CommentReference">
    <w:name w:val="annotation reference"/>
    <w:semiHidden/>
    <w:rsid w:val="004A2B28"/>
    <w:rPr>
      <w:sz w:val="16"/>
      <w:szCs w:val="16"/>
    </w:rPr>
  </w:style>
  <w:style w:type="paragraph" w:styleId="CommentText">
    <w:name w:val="annotation text"/>
    <w:basedOn w:val="Normal"/>
    <w:semiHidden/>
    <w:rsid w:val="004A2B28"/>
    <w:rPr>
      <w:sz w:val="20"/>
    </w:rPr>
  </w:style>
  <w:style w:type="paragraph" w:styleId="CommentSubject">
    <w:name w:val="annotation subject"/>
    <w:basedOn w:val="CommentText"/>
    <w:next w:val="CommentText"/>
    <w:semiHidden/>
    <w:rsid w:val="004A2B28"/>
    <w:rPr>
      <w:b/>
      <w:bCs/>
    </w:rPr>
  </w:style>
  <w:style w:type="paragraph" w:styleId="Header">
    <w:name w:val="header"/>
    <w:basedOn w:val="Normal"/>
    <w:rsid w:val="007D30D6"/>
    <w:pPr>
      <w:tabs>
        <w:tab w:val="center" w:pos="4320"/>
        <w:tab w:val="right" w:pos="8640"/>
      </w:tabs>
    </w:pPr>
  </w:style>
  <w:style w:type="paragraph" w:styleId="Footer">
    <w:name w:val="footer"/>
    <w:basedOn w:val="Normal"/>
    <w:rsid w:val="007D30D6"/>
    <w:pPr>
      <w:tabs>
        <w:tab w:val="center" w:pos="4320"/>
        <w:tab w:val="right" w:pos="8640"/>
      </w:tabs>
    </w:pPr>
  </w:style>
  <w:style w:type="paragraph" w:styleId="ListParagraph">
    <w:name w:val="List Paragraph"/>
    <w:basedOn w:val="Normal"/>
    <w:uiPriority w:val="34"/>
    <w:qFormat/>
    <w:rsid w:val="00A73B55"/>
    <w:pPr>
      <w:ind w:left="720"/>
    </w:pPr>
  </w:style>
  <w:style w:type="paragraph" w:styleId="NormalWeb">
    <w:name w:val="Normal (Web)"/>
    <w:basedOn w:val="Normal"/>
    <w:uiPriority w:val="99"/>
    <w:unhideWhenUsed/>
    <w:rsid w:val="00C77307"/>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492B-AE64-4C2C-9F67-325F480A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WESTERN WASHINGTON UNIVERSITY</vt:lpstr>
    </vt:vector>
  </TitlesOfParts>
  <Company>Western Washington University</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WASHINGTON UNIVERSITY</dc:title>
  <dc:subject/>
  <dc:creator>Kurt Willis</dc:creator>
  <cp:keywords/>
  <cp:lastModifiedBy>Barbara Sandoval</cp:lastModifiedBy>
  <cp:revision>7</cp:revision>
  <cp:lastPrinted>2015-04-07T23:27:00Z</cp:lastPrinted>
  <dcterms:created xsi:type="dcterms:W3CDTF">2015-04-23T17:59:00Z</dcterms:created>
  <dcterms:modified xsi:type="dcterms:W3CDTF">2016-08-04T18:46:00Z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